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51D0" w:rsidRDefault="009A038B">
      <w:pPr>
        <w:pStyle w:val="afd"/>
        <w:spacing w:line="480" w:lineRule="auto"/>
        <w:rPr>
          <w:rFonts w:ascii="Arial" w:hAnsi="Arial" w:cs="Arial"/>
          <w:b/>
          <w:sz w:val="32"/>
          <w:szCs w:val="32"/>
          <w:lang w:val="en-GB" w:eastAsia="it-IT"/>
        </w:rPr>
      </w:pPr>
      <w:r>
        <w:rPr>
          <w:rFonts w:ascii="Arial" w:hAnsi="Arial" w:cs="Arial"/>
          <w:b/>
          <w:sz w:val="32"/>
          <w:szCs w:val="32"/>
          <w:lang w:val="en-GB" w:eastAsia="it-IT"/>
        </w:rPr>
        <w:t>Supplementary material (Part 1)</w:t>
      </w:r>
    </w:p>
    <w:p w:rsidR="002651D0" w:rsidRDefault="009A038B">
      <w:pPr>
        <w:pStyle w:val="afd"/>
        <w:spacing w:line="480" w:lineRule="auto"/>
        <w:rPr>
          <w:rFonts w:ascii="Arial" w:hAnsi="Arial" w:cs="Arial"/>
          <w:sz w:val="20"/>
          <w:szCs w:val="20"/>
          <w:lang w:val="en-GB" w:eastAsia="it-IT"/>
        </w:rPr>
      </w:pPr>
      <w:r>
        <w:rPr>
          <w:rFonts w:ascii="Arial" w:hAnsi="Arial" w:cs="Arial"/>
          <w:sz w:val="20"/>
          <w:szCs w:val="20"/>
          <w:lang w:val="en-GB" w:eastAsia="it-IT"/>
        </w:rPr>
        <w:t xml:space="preserve">1. Barrett Universal II (BUII): this unpublished paraxial ray-tracing approach is accessible in the IOLMaster 700 optical biometer (software versions </w:t>
      </w:r>
      <w:r>
        <w:rPr>
          <w:rFonts w:ascii="Arial" w:hAnsi="Arial" w:cs="Arial"/>
          <w:sz w:val="20"/>
          <w:szCs w:val="20"/>
          <w:lang w:val="en-GB" w:eastAsia="it-IT"/>
        </w:rPr>
        <w:t>1.70 and 1.88, Carl Zeiss Meditec AG, Jena, Germany). This software provides the formula constant (Lens Factor) for many IOL models including Tecnis 1 ZCB00 (LF = 2.10) (Johnson &amp; Johnson Vision, Jacksonville, FL, USA).</w:t>
      </w:r>
      <w:r>
        <w:rPr>
          <w:rFonts w:ascii="Arial" w:hAnsi="Arial" w:cs="Arial"/>
          <w:sz w:val="20"/>
          <w:szCs w:val="20"/>
          <w:vertAlign w:val="superscript"/>
          <w:lang w:val="en-GB" w:eastAsia="it-IT"/>
        </w:rPr>
        <w:t xml:space="preserve"> </w:t>
      </w:r>
      <w:r>
        <w:rPr>
          <w:rFonts w:ascii="Arial" w:hAnsi="Arial" w:cs="Arial"/>
          <w:sz w:val="20"/>
          <w:szCs w:val="20"/>
          <w:lang w:val="en-GB" w:eastAsia="it-IT"/>
        </w:rPr>
        <w:t xml:space="preserve"> </w:t>
      </w:r>
    </w:p>
    <w:p w:rsidR="002651D0" w:rsidRDefault="009A038B">
      <w:pPr>
        <w:pStyle w:val="afd"/>
        <w:spacing w:line="480" w:lineRule="auto"/>
        <w:rPr>
          <w:rFonts w:ascii="Arial" w:hAnsi="Arial" w:cs="Arial"/>
          <w:sz w:val="20"/>
          <w:szCs w:val="20"/>
          <w:lang w:val="en-GB" w:eastAsia="it-IT"/>
        </w:rPr>
      </w:pPr>
      <w:r>
        <w:rPr>
          <w:rFonts w:ascii="Arial" w:hAnsi="Arial" w:cs="Arial"/>
          <w:sz w:val="20"/>
          <w:szCs w:val="20"/>
          <w:lang w:val="en-GB" w:eastAsia="it-IT"/>
        </w:rPr>
        <w:t>2. Haigis: this formula was progra</w:t>
      </w:r>
      <w:r>
        <w:rPr>
          <w:rFonts w:ascii="Arial" w:hAnsi="Arial" w:cs="Arial"/>
          <w:sz w:val="20"/>
          <w:szCs w:val="20"/>
          <w:lang w:val="en-GB" w:eastAsia="it-IT"/>
        </w:rPr>
        <w:t>mmed into Excel according to the author’s recommendations.</w:t>
      </w:r>
      <w:r>
        <w:rPr>
          <w:rFonts w:ascii="Arial" w:hAnsi="Arial" w:cs="Arial"/>
          <w:sz w:val="20"/>
          <w:szCs w:val="20"/>
          <w:vertAlign w:val="superscript"/>
          <w:lang w:val="en-GB" w:eastAsia="en-GB"/>
        </w:rPr>
        <w:t xml:space="preserve"> </w:t>
      </w:r>
      <w:r>
        <w:rPr>
          <w:rFonts w:ascii="Arial" w:hAnsi="Arial" w:cs="Arial"/>
          <w:sz w:val="20"/>
          <w:szCs w:val="20"/>
          <w:vertAlign w:val="superscript"/>
          <w:lang w:val="en-GB" w:eastAsia="it-IT"/>
        </w:rPr>
        <w:t>1</w:t>
      </w:r>
    </w:p>
    <w:p w:rsidR="002651D0" w:rsidRDefault="009A038B">
      <w:pPr>
        <w:pStyle w:val="afd"/>
        <w:spacing w:line="480" w:lineRule="auto"/>
        <w:rPr>
          <w:rFonts w:ascii="Arial" w:hAnsi="Arial" w:cs="Arial"/>
          <w:sz w:val="20"/>
          <w:szCs w:val="20"/>
          <w:lang w:val="en-GB" w:eastAsia="it-IT"/>
        </w:rPr>
      </w:pPr>
      <w:r>
        <w:rPr>
          <w:rFonts w:ascii="Arial" w:hAnsi="Arial" w:cs="Arial"/>
          <w:sz w:val="20"/>
          <w:szCs w:val="20"/>
          <w:lang w:val="en-GB" w:eastAsia="it-IT"/>
        </w:rPr>
        <w:t>3. Hoffer Q: this formula was programmed into Excel according to the author’s recommendations and errata.</w:t>
      </w:r>
      <w:r>
        <w:rPr>
          <w:rFonts w:ascii="Arial" w:hAnsi="Arial" w:cs="Arial"/>
          <w:sz w:val="20"/>
          <w:szCs w:val="20"/>
          <w:vertAlign w:val="superscript"/>
        </w:rPr>
        <w:t xml:space="preserve"> 2</w:t>
      </w:r>
    </w:p>
    <w:p w:rsidR="002651D0" w:rsidRDefault="009A038B">
      <w:pPr>
        <w:pStyle w:val="afd"/>
        <w:spacing w:line="480" w:lineRule="auto"/>
        <w:rPr>
          <w:rFonts w:ascii="Arial" w:hAnsi="Arial" w:cs="Arial"/>
          <w:sz w:val="20"/>
          <w:szCs w:val="20"/>
          <w:lang w:val="en-GB" w:eastAsia="it-IT"/>
        </w:rPr>
      </w:pPr>
      <w:r>
        <w:rPr>
          <w:rFonts w:ascii="Arial" w:hAnsi="Arial" w:cs="Arial"/>
          <w:sz w:val="20"/>
          <w:szCs w:val="20"/>
          <w:lang w:val="en-GB" w:eastAsia="it-IT"/>
        </w:rPr>
        <w:t>4. Hoffer QST: this modified version (developed by 3 of the authors (KJH, GS, LT)) of t</w:t>
      </w:r>
      <w:r>
        <w:rPr>
          <w:rFonts w:ascii="Arial" w:hAnsi="Arial" w:cs="Arial"/>
          <w:sz w:val="20"/>
          <w:szCs w:val="20"/>
          <w:lang w:val="en-GB" w:eastAsia="it-IT"/>
        </w:rPr>
        <w:t>he original Hoffer Q formula relies on AI to predict a new ELP correcting factor (T-factor) and on a nonlinear regression model for AL adjustment in eyes  &gt; 26.00 mm (</w:t>
      </w:r>
      <w:hyperlink r:id="rId8" w:history="1">
        <w:r>
          <w:rPr>
            <w:rStyle w:val="a7"/>
            <w:rFonts w:ascii="Arial" w:hAnsi="Arial" w:cs="Arial"/>
            <w:color w:val="auto"/>
            <w:sz w:val="20"/>
            <w:szCs w:val="20"/>
            <w:u w:val="none"/>
            <w:lang w:val="en-GB" w:eastAsia="it-IT"/>
          </w:rPr>
          <w:t>https://hofferqst.com</w:t>
        </w:r>
      </w:hyperlink>
      <w:r>
        <w:rPr>
          <w:rFonts w:ascii="Arial" w:hAnsi="Arial" w:cs="Arial"/>
          <w:sz w:val="20"/>
          <w:szCs w:val="20"/>
          <w:lang w:val="en-GB" w:eastAsia="it-IT"/>
        </w:rPr>
        <w:t>, version 1.5, accessed on Jan</w:t>
      </w:r>
      <w:r>
        <w:rPr>
          <w:rFonts w:ascii="Arial" w:hAnsi="Arial" w:cs="Arial"/>
          <w:sz w:val="20"/>
          <w:szCs w:val="20"/>
          <w:lang w:val="en-GB" w:eastAsia="it-IT"/>
        </w:rPr>
        <w:t>uary 11, 2026).</w:t>
      </w:r>
      <w:r>
        <w:rPr>
          <w:rFonts w:ascii="Arial" w:hAnsi="Arial" w:cs="Arial"/>
          <w:sz w:val="20"/>
          <w:szCs w:val="20"/>
          <w:vertAlign w:val="superscript"/>
          <w:lang w:val="en-GB" w:eastAsia="en-GB"/>
        </w:rPr>
        <w:t xml:space="preserve"> </w:t>
      </w:r>
      <w:r>
        <w:rPr>
          <w:rFonts w:ascii="Arial" w:hAnsi="Arial" w:cs="Arial"/>
          <w:sz w:val="20"/>
          <w:szCs w:val="20"/>
          <w:vertAlign w:val="superscript"/>
          <w:lang w:val="en-GB" w:eastAsia="it-IT"/>
        </w:rPr>
        <w:t>3</w:t>
      </w:r>
    </w:p>
    <w:p w:rsidR="002651D0" w:rsidRDefault="009A038B">
      <w:pPr>
        <w:pStyle w:val="afd"/>
        <w:spacing w:line="480" w:lineRule="auto"/>
        <w:rPr>
          <w:rFonts w:ascii="Arial" w:hAnsi="Arial" w:cs="Arial"/>
          <w:sz w:val="20"/>
          <w:szCs w:val="20"/>
          <w:vertAlign w:val="superscript"/>
          <w:lang w:val="en-GB" w:eastAsia="it-IT"/>
        </w:rPr>
      </w:pPr>
      <w:r>
        <w:rPr>
          <w:rFonts w:ascii="Arial" w:hAnsi="Arial" w:cs="Arial"/>
          <w:sz w:val="20"/>
          <w:szCs w:val="20"/>
          <w:lang w:val="en-GB" w:eastAsia="it-IT"/>
        </w:rPr>
        <w:t>5. Holladay 1: this formula was programmed into Excel with the author’s corrections and recommendations.</w:t>
      </w:r>
      <w:r>
        <w:rPr>
          <w:rFonts w:ascii="Arial" w:hAnsi="Arial" w:cs="Arial"/>
          <w:sz w:val="20"/>
          <w:szCs w:val="20"/>
          <w:vertAlign w:val="superscript"/>
        </w:rPr>
        <w:t xml:space="preserve"> 4</w:t>
      </w:r>
      <w:r>
        <w:rPr>
          <w:rFonts w:ascii="Arial" w:hAnsi="Arial" w:cs="Arial"/>
          <w:sz w:val="20"/>
          <w:szCs w:val="20"/>
          <w:lang w:val="en-GB" w:eastAsia="it-IT"/>
        </w:rPr>
        <w:t xml:space="preserve"> </w:t>
      </w:r>
    </w:p>
    <w:p w:rsidR="002651D0" w:rsidRDefault="009A038B">
      <w:pPr>
        <w:pStyle w:val="afd"/>
        <w:spacing w:line="480" w:lineRule="auto"/>
        <w:rPr>
          <w:rFonts w:ascii="Arial" w:hAnsi="Arial" w:cs="Arial"/>
          <w:sz w:val="20"/>
          <w:szCs w:val="20"/>
          <w:lang w:val="en-GB" w:eastAsia="it-IT"/>
        </w:rPr>
      </w:pPr>
      <w:r>
        <w:rPr>
          <w:rFonts w:ascii="Arial" w:hAnsi="Arial" w:cs="Arial"/>
          <w:sz w:val="20"/>
          <w:szCs w:val="20"/>
          <w:lang w:val="en-GB" w:eastAsia="it-IT"/>
        </w:rPr>
        <w:t>6. Cooke K6 (</w:t>
      </w:r>
      <w:r>
        <w:rPr>
          <w:rFonts w:ascii="Arial" w:hAnsi="Arial" w:cs="Arial"/>
          <w:color w:val="212529"/>
          <w:sz w:val="20"/>
          <w:szCs w:val="20"/>
          <w:shd w:val="clear" w:color="auto" w:fill="FFFFFF"/>
        </w:rPr>
        <w:t>v2024.01)</w:t>
      </w:r>
      <w:r>
        <w:rPr>
          <w:rFonts w:ascii="Arial" w:hAnsi="Arial" w:cs="Arial"/>
          <w:sz w:val="20"/>
          <w:szCs w:val="20"/>
          <w:lang w:val="en-GB" w:eastAsia="it-IT"/>
        </w:rPr>
        <w:t xml:space="preserve">: this is a modified vergence formula, developed by David Cooke, MD, that has three distinctions: a) it transforms the AL provided by optical biometry into a sum-of-segments </w:t>
      </w:r>
      <w:r>
        <w:rPr>
          <w:rFonts w:ascii="Arial" w:hAnsi="Arial" w:cs="Arial"/>
          <w:sz w:val="20"/>
          <w:szCs w:val="20"/>
          <w:vertAlign w:val="superscript"/>
          <w:lang w:val="en-GB" w:eastAsia="it-IT"/>
        </w:rPr>
        <w:t>5</w:t>
      </w:r>
      <w:r>
        <w:rPr>
          <w:rFonts w:ascii="Arial" w:hAnsi="Arial" w:cs="Arial"/>
          <w:sz w:val="20"/>
          <w:szCs w:val="20"/>
          <w:lang w:val="en-GB" w:eastAsia="it-IT"/>
        </w:rPr>
        <w:t xml:space="preserve"> AL equivalent; b) it predicts the effective lens position (ELP) from measurement</w:t>
      </w:r>
      <w:r>
        <w:rPr>
          <w:rFonts w:ascii="Arial" w:hAnsi="Arial" w:cs="Arial"/>
          <w:sz w:val="20"/>
          <w:szCs w:val="20"/>
          <w:lang w:val="en-GB" w:eastAsia="it-IT"/>
        </w:rPr>
        <w:t>s and calculations of the secondary principal plane of the actual postoperative IOL position; and c) it back-calculates the total corneal power (this is the reason why it is called the “K” formula). Released in January 2024, it only requires three variable</w:t>
      </w:r>
      <w:r>
        <w:rPr>
          <w:rFonts w:ascii="Arial" w:hAnsi="Arial" w:cs="Arial"/>
          <w:sz w:val="20"/>
          <w:szCs w:val="20"/>
          <w:lang w:val="en-GB" w:eastAsia="it-IT"/>
        </w:rPr>
        <w:t>s: AL, ACD, and Ks, though central corneal thickness (CCT), and lens thickness (LT) are recommended (</w:t>
      </w:r>
      <w:hyperlink r:id="rId9" w:history="1">
        <w:r>
          <w:rPr>
            <w:rStyle w:val="a7"/>
            <w:rFonts w:ascii="Arial" w:hAnsi="Arial" w:cs="Arial"/>
            <w:color w:val="auto"/>
            <w:sz w:val="20"/>
            <w:szCs w:val="20"/>
            <w:u w:val="none"/>
            <w:lang w:val="en-GB" w:eastAsia="it-IT"/>
          </w:rPr>
          <w:t>https://cookeformula.com/</w:t>
        </w:r>
      </w:hyperlink>
      <w:r>
        <w:rPr>
          <w:rFonts w:ascii="Arial" w:hAnsi="Arial" w:cs="Arial"/>
          <w:sz w:val="20"/>
          <w:szCs w:val="20"/>
          <w:lang w:val="en-GB" w:eastAsia="it-IT"/>
        </w:rPr>
        <w:t>, accessed on January 11, 2026).</w:t>
      </w:r>
      <w:r>
        <w:rPr>
          <w:rFonts w:ascii="Arial" w:hAnsi="Arial" w:cs="Arial"/>
          <w:sz w:val="20"/>
          <w:szCs w:val="20"/>
          <w:vertAlign w:val="superscript"/>
          <w:lang w:val="en-GB" w:eastAsia="it-IT"/>
        </w:rPr>
        <w:t xml:space="preserve"> </w:t>
      </w:r>
    </w:p>
    <w:p w:rsidR="002651D0" w:rsidRDefault="009A038B">
      <w:pPr>
        <w:pStyle w:val="afd"/>
        <w:spacing w:line="480" w:lineRule="auto"/>
        <w:rPr>
          <w:rFonts w:ascii="Arial" w:hAnsi="Arial" w:cs="Arial"/>
          <w:sz w:val="20"/>
          <w:szCs w:val="20"/>
          <w:lang w:val="en-GB" w:eastAsia="it-IT"/>
        </w:rPr>
      </w:pPr>
      <w:r>
        <w:rPr>
          <w:rFonts w:ascii="Arial" w:hAnsi="Arial" w:cs="Arial"/>
          <w:sz w:val="20"/>
          <w:szCs w:val="20"/>
          <w:lang w:val="en-GB" w:eastAsia="it-IT"/>
        </w:rPr>
        <w:t>7. Kane: this unpublished formula is based on theoreti</w:t>
      </w:r>
      <w:r>
        <w:rPr>
          <w:rFonts w:ascii="Arial" w:hAnsi="Arial" w:cs="Arial"/>
          <w:sz w:val="20"/>
          <w:szCs w:val="20"/>
          <w:lang w:val="en-GB" w:eastAsia="it-IT"/>
        </w:rPr>
        <w:t>cal optics and contains both AI and regression components.</w:t>
      </w:r>
      <w:r>
        <w:rPr>
          <w:rFonts w:ascii="Arial" w:hAnsi="Arial" w:cs="Arial"/>
          <w:sz w:val="20"/>
          <w:szCs w:val="20"/>
          <w:vertAlign w:val="superscript"/>
        </w:rPr>
        <w:t xml:space="preserve"> 6</w:t>
      </w:r>
      <w:r>
        <w:rPr>
          <w:rFonts w:ascii="Arial" w:hAnsi="Arial" w:cs="Arial"/>
          <w:sz w:val="20"/>
          <w:szCs w:val="20"/>
          <w:vertAlign w:val="superscript"/>
          <w:lang w:val="en-GB" w:eastAsia="it-IT"/>
        </w:rPr>
        <w:t xml:space="preserve"> </w:t>
      </w:r>
      <w:r>
        <w:rPr>
          <w:rFonts w:ascii="Arial" w:hAnsi="Arial" w:cs="Arial"/>
          <w:sz w:val="20"/>
          <w:szCs w:val="20"/>
          <w:lang w:val="en-GB" w:eastAsia="it-IT"/>
        </w:rPr>
        <w:t xml:space="preserve"> It uses 6 variables to predict the IOL power, including mandatory AL, K, ACD and gender, while LT and CCT are optional (</w:t>
      </w:r>
      <w:hyperlink r:id="rId10" w:history="1">
        <w:r>
          <w:rPr>
            <w:rStyle w:val="a7"/>
            <w:rFonts w:ascii="Arial" w:hAnsi="Arial" w:cs="Arial"/>
            <w:color w:val="auto"/>
            <w:sz w:val="20"/>
            <w:szCs w:val="20"/>
            <w:u w:val="none"/>
            <w:lang w:val="en-GB" w:eastAsia="it-IT"/>
          </w:rPr>
          <w:t>http://www.iolformula.com</w:t>
        </w:r>
      </w:hyperlink>
      <w:r>
        <w:rPr>
          <w:rStyle w:val="a7"/>
          <w:rFonts w:ascii="Arial" w:hAnsi="Arial" w:cs="Arial"/>
          <w:color w:val="auto"/>
          <w:sz w:val="20"/>
          <w:szCs w:val="20"/>
          <w:u w:val="none"/>
          <w:lang w:val="en-GB" w:eastAsia="it-IT"/>
        </w:rPr>
        <w:t>,</w:t>
      </w:r>
      <w:r>
        <w:rPr>
          <w:rFonts w:ascii="Arial" w:hAnsi="Arial" w:cs="Arial"/>
          <w:sz w:val="20"/>
          <w:szCs w:val="20"/>
          <w:lang w:val="en-GB" w:eastAsia="it-IT"/>
        </w:rPr>
        <w:t xml:space="preserve"> acces</w:t>
      </w:r>
      <w:r>
        <w:rPr>
          <w:rFonts w:ascii="Arial" w:hAnsi="Arial" w:cs="Arial"/>
          <w:sz w:val="20"/>
          <w:szCs w:val="20"/>
          <w:lang w:val="en-GB" w:eastAsia="it-IT"/>
        </w:rPr>
        <w:t>sed on January 11, 2026).</w:t>
      </w:r>
      <w:r>
        <w:rPr>
          <w:rFonts w:ascii="Arial" w:hAnsi="Arial" w:cs="Arial"/>
          <w:sz w:val="20"/>
          <w:szCs w:val="20"/>
          <w:vertAlign w:val="superscript"/>
          <w:lang w:val="en-GB" w:eastAsia="it-IT"/>
        </w:rPr>
        <w:t xml:space="preserve"> </w:t>
      </w:r>
      <w:r>
        <w:rPr>
          <w:rFonts w:ascii="Arial" w:hAnsi="Arial" w:cs="Arial"/>
          <w:sz w:val="20"/>
          <w:szCs w:val="20"/>
          <w:lang w:val="en-GB" w:eastAsia="it-IT"/>
        </w:rPr>
        <w:t xml:space="preserve"> </w:t>
      </w:r>
    </w:p>
    <w:p w:rsidR="002651D0" w:rsidRDefault="009A038B">
      <w:pPr>
        <w:pStyle w:val="afd"/>
        <w:spacing w:line="480" w:lineRule="auto"/>
        <w:rPr>
          <w:rFonts w:ascii="Arial" w:hAnsi="Arial" w:cs="Arial"/>
          <w:sz w:val="20"/>
          <w:szCs w:val="20"/>
          <w:lang w:val="en-GB" w:eastAsia="it-IT"/>
        </w:rPr>
      </w:pPr>
      <w:r>
        <w:rPr>
          <w:rFonts w:ascii="Arial" w:hAnsi="Arial" w:cs="Arial"/>
          <w:sz w:val="20"/>
          <w:szCs w:val="20"/>
          <w:lang w:val="en-GB" w:eastAsia="it-IT"/>
        </w:rPr>
        <w:lastRenderedPageBreak/>
        <w:t xml:space="preserve">8. Norrby thin lens paraxial Ray-tracing (hereafter Norrby RT): this is a paraxial ray-tracing method that introduced a </w:t>
      </w:r>
      <w:r>
        <w:rPr>
          <w:rFonts w:ascii="Arial" w:hAnsi="Arial" w:cs="Arial"/>
          <w:sz w:val="20"/>
          <w:szCs w:val="20"/>
          <w:lang w:eastAsia="it-IT"/>
        </w:rPr>
        <w:t>thin refracting surface at the equivalent plane of the IOL.</w:t>
      </w:r>
      <w:r>
        <w:rPr>
          <w:rFonts w:ascii="Arial" w:hAnsi="Arial" w:cs="Arial"/>
          <w:sz w:val="20"/>
          <w:szCs w:val="20"/>
        </w:rPr>
        <w:t xml:space="preserve"> The </w:t>
      </w:r>
      <w:r>
        <w:rPr>
          <w:rFonts w:ascii="Arial" w:hAnsi="Arial" w:cs="Arial"/>
          <w:sz w:val="20"/>
          <w:szCs w:val="20"/>
          <w:lang w:eastAsia="it-IT"/>
        </w:rPr>
        <w:t>position of the posterior IOL surface is est</w:t>
      </w:r>
      <w:r>
        <w:rPr>
          <w:rFonts w:ascii="Arial" w:hAnsi="Arial" w:cs="Arial"/>
          <w:sz w:val="20"/>
          <w:szCs w:val="20"/>
          <w:lang w:eastAsia="it-IT"/>
        </w:rPr>
        <w:t xml:space="preserve">imated by the regression formula with AL and ACD as variables. </w:t>
      </w:r>
      <w:r>
        <w:rPr>
          <w:rFonts w:ascii="Arial" w:hAnsi="Arial" w:cs="Arial"/>
          <w:sz w:val="20"/>
          <w:szCs w:val="20"/>
          <w:lang w:val="en-GB" w:eastAsia="it-IT"/>
        </w:rPr>
        <w:t>The N constant of -1.01 was used to achieve a zero of mean PE. It was programmed into Excel following the recommendations from the original publication.</w:t>
      </w:r>
      <w:r>
        <w:rPr>
          <w:rFonts w:ascii="Arial" w:hAnsi="Arial" w:cs="Arial"/>
          <w:sz w:val="20"/>
          <w:szCs w:val="20"/>
          <w:vertAlign w:val="superscript"/>
        </w:rPr>
        <w:t xml:space="preserve"> 7</w:t>
      </w:r>
      <w:r>
        <w:rPr>
          <w:rFonts w:ascii="Arial" w:hAnsi="Arial" w:cs="Arial"/>
          <w:sz w:val="20"/>
          <w:szCs w:val="20"/>
          <w:lang w:val="en-GB" w:eastAsia="it-IT"/>
        </w:rPr>
        <w:t xml:space="preserve"> </w:t>
      </w:r>
    </w:p>
    <w:p w:rsidR="002651D0" w:rsidRDefault="009A038B">
      <w:pPr>
        <w:pStyle w:val="afd"/>
        <w:spacing w:line="480" w:lineRule="auto"/>
        <w:rPr>
          <w:rFonts w:ascii="Arial" w:hAnsi="Arial" w:cs="Arial"/>
          <w:sz w:val="20"/>
          <w:szCs w:val="20"/>
          <w:lang w:val="en-GB" w:eastAsia="it-IT"/>
        </w:rPr>
      </w:pPr>
      <w:r>
        <w:rPr>
          <w:rFonts w:ascii="Arial" w:hAnsi="Arial" w:cs="Arial"/>
          <w:sz w:val="20"/>
          <w:szCs w:val="20"/>
          <w:lang w:val="en-GB" w:eastAsia="it-IT"/>
        </w:rPr>
        <w:t>9. Olsen (OLCR): the Olsen formula is</w:t>
      </w:r>
      <w:r>
        <w:rPr>
          <w:rFonts w:ascii="Arial" w:hAnsi="Arial" w:cs="Arial"/>
          <w:sz w:val="20"/>
          <w:szCs w:val="20"/>
          <w:lang w:val="en-GB" w:eastAsia="it-IT"/>
        </w:rPr>
        <w:t xml:space="preserve"> based on a thick-lens paraxial ray-tracing method and is available in 2 versions. The first, defined as Olsen (OLCR), corresponds to the formula installed in the </w:t>
      </w:r>
      <w:r>
        <w:rPr>
          <w:rFonts w:ascii="Arial" w:hAnsi="Arial" w:cs="Arial"/>
          <w:sz w:val="20"/>
          <w:szCs w:val="20"/>
          <w:lang w:eastAsia="it-IT"/>
        </w:rPr>
        <w:t xml:space="preserve">EyeSuite software (version i8.0.0.0, Haag-Streit AG, Switzerland) </w:t>
      </w:r>
      <w:r>
        <w:rPr>
          <w:rFonts w:ascii="Arial" w:hAnsi="Arial" w:cs="Arial"/>
          <w:sz w:val="20"/>
          <w:szCs w:val="20"/>
          <w:lang w:val="en-GB" w:eastAsia="it-IT"/>
        </w:rPr>
        <w:t>and uses the C constant con</w:t>
      </w:r>
      <w:r>
        <w:rPr>
          <w:rFonts w:ascii="Arial" w:hAnsi="Arial" w:cs="Arial"/>
          <w:sz w:val="20"/>
          <w:szCs w:val="20"/>
          <w:lang w:val="en-GB" w:eastAsia="it-IT"/>
        </w:rPr>
        <w:t>cept with ACD and LT as the only IOL position predictors.</w:t>
      </w:r>
      <w:r>
        <w:rPr>
          <w:rFonts w:ascii="Arial" w:hAnsi="Arial" w:cs="Arial"/>
          <w:sz w:val="20"/>
          <w:szCs w:val="20"/>
          <w:vertAlign w:val="superscript"/>
        </w:rPr>
        <w:t xml:space="preserve"> 8</w:t>
      </w:r>
      <w:r>
        <w:rPr>
          <w:rFonts w:ascii="Arial" w:hAnsi="Arial" w:cs="Arial"/>
          <w:sz w:val="20"/>
          <w:szCs w:val="20"/>
          <w:lang w:val="en-GB" w:eastAsia="it-IT"/>
        </w:rPr>
        <w:t xml:space="preserve">  </w:t>
      </w:r>
    </w:p>
    <w:p w:rsidR="002651D0" w:rsidRDefault="009A038B">
      <w:pPr>
        <w:pStyle w:val="afd"/>
        <w:spacing w:line="480" w:lineRule="auto"/>
        <w:rPr>
          <w:rFonts w:ascii="Arial" w:hAnsi="Arial" w:cs="Arial"/>
          <w:sz w:val="20"/>
          <w:szCs w:val="20"/>
          <w:lang w:val="en-GB" w:eastAsia="it-IT"/>
        </w:rPr>
      </w:pPr>
      <w:r>
        <w:rPr>
          <w:rFonts w:ascii="Arial" w:hAnsi="Arial" w:cs="Arial"/>
          <w:sz w:val="20"/>
          <w:szCs w:val="20"/>
          <w:lang w:val="en-GB" w:eastAsia="it-IT"/>
        </w:rPr>
        <w:t>10. Olsen (standalone): this is the second version of the Olsen formula, is available in the PhacoOptics software (version 1.10.100.2029; IOL Innovations Aps,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 Aarhus, Denmark</w:t>
      </w:r>
      <w:r>
        <w:rPr>
          <w:rFonts w:ascii="Arial" w:hAnsi="Arial" w:cs="Arial"/>
          <w:sz w:val="20"/>
          <w:szCs w:val="20"/>
          <w:lang w:val="en-GB" w:eastAsia="it-IT"/>
        </w:rPr>
        <w:t>) and predicts the I</w:t>
      </w:r>
      <w:r>
        <w:rPr>
          <w:rFonts w:ascii="Arial" w:hAnsi="Arial" w:cs="Arial"/>
          <w:sz w:val="20"/>
          <w:szCs w:val="20"/>
          <w:lang w:val="en-GB" w:eastAsia="it-IT"/>
        </w:rPr>
        <w:t xml:space="preserve">OL position from 4 parameters: AL, K, ACD, and LT.  </w:t>
      </w:r>
    </w:p>
    <w:p w:rsidR="002651D0" w:rsidRDefault="009A038B">
      <w:pPr>
        <w:pStyle w:val="afd"/>
        <w:spacing w:line="480" w:lineRule="auto"/>
        <w:rPr>
          <w:rFonts w:ascii="Arial" w:hAnsi="Arial" w:cs="Arial"/>
          <w:sz w:val="20"/>
          <w:szCs w:val="20"/>
          <w:lang w:val="en-GB" w:eastAsia="it-IT"/>
        </w:rPr>
      </w:pPr>
      <w:r>
        <w:rPr>
          <w:rFonts w:ascii="Arial" w:hAnsi="Arial" w:cs="Arial"/>
          <w:sz w:val="20"/>
          <w:szCs w:val="20"/>
          <w:lang w:val="en-GB" w:eastAsia="it-IT"/>
        </w:rPr>
        <w:t xml:space="preserve">11. Pearl-DGS: this is a thick-lens formula, developed by G. Debellemanière and D. Gatinel et al. </w:t>
      </w:r>
      <w:r>
        <w:rPr>
          <w:rFonts w:ascii="Arial" w:hAnsi="Arial" w:cs="Arial"/>
          <w:sz w:val="20"/>
          <w:szCs w:val="20"/>
          <w:vertAlign w:val="superscript"/>
        </w:rPr>
        <w:t>9</w:t>
      </w:r>
      <w:r>
        <w:rPr>
          <w:rFonts w:ascii="Arial" w:hAnsi="Arial" w:cs="Arial"/>
          <w:sz w:val="20"/>
          <w:szCs w:val="20"/>
          <w:lang w:val="en-GB" w:eastAsia="it-IT"/>
        </w:rPr>
        <w:t xml:space="preserve"> It uses the Cooke-modified AL to approximate sum-of-segments AL, an optimized corneal refractive index, and includes AI predictions (http://</w:t>
      </w:r>
      <w:hyperlink r:id="rId11" w:history="1">
        <w:r>
          <w:rPr>
            <w:rStyle w:val="a7"/>
            <w:rFonts w:ascii="Arial" w:hAnsi="Arial" w:cs="Arial"/>
            <w:color w:val="auto"/>
            <w:sz w:val="20"/>
            <w:szCs w:val="20"/>
            <w:u w:val="none"/>
            <w:lang w:val="en-GB" w:eastAsia="it-IT"/>
          </w:rPr>
          <w:t>www.iolsolver.com</w:t>
        </w:r>
      </w:hyperlink>
      <w:r>
        <w:rPr>
          <w:rStyle w:val="a7"/>
          <w:rFonts w:ascii="Arial" w:hAnsi="Arial" w:cs="Arial"/>
          <w:color w:val="auto"/>
          <w:sz w:val="20"/>
          <w:szCs w:val="20"/>
          <w:u w:val="none"/>
          <w:lang w:val="en-GB" w:eastAsia="it-IT"/>
        </w:rPr>
        <w:t>,</w:t>
      </w:r>
      <w:r>
        <w:rPr>
          <w:rFonts w:ascii="Arial" w:hAnsi="Arial" w:cs="Arial"/>
          <w:sz w:val="20"/>
          <w:szCs w:val="20"/>
          <w:lang w:val="en-GB" w:eastAsia="it-IT"/>
        </w:rPr>
        <w:t xml:space="preserve"> accessed on January 11, 2026).</w:t>
      </w:r>
    </w:p>
    <w:p w:rsidR="002651D0" w:rsidRDefault="009A038B">
      <w:pPr>
        <w:pStyle w:val="afd"/>
        <w:spacing w:line="480" w:lineRule="auto"/>
        <w:rPr>
          <w:rFonts w:ascii="Arial" w:hAnsi="Arial" w:cs="Arial"/>
          <w:sz w:val="20"/>
          <w:szCs w:val="20"/>
          <w:vertAlign w:val="superscript"/>
          <w:lang w:val="en-GB" w:eastAsia="it-IT"/>
        </w:rPr>
      </w:pPr>
      <w:r>
        <w:rPr>
          <w:rFonts w:ascii="Arial" w:hAnsi="Arial" w:cs="Arial"/>
          <w:sz w:val="20"/>
          <w:szCs w:val="20"/>
          <w:lang w:val="en-GB" w:eastAsia="it-IT"/>
        </w:rPr>
        <w:t xml:space="preserve">12. SRK/T: this formula </w:t>
      </w:r>
      <w:r>
        <w:rPr>
          <w:rFonts w:ascii="Arial" w:hAnsi="Arial" w:cs="Arial"/>
          <w:sz w:val="20"/>
          <w:szCs w:val="20"/>
          <w:lang w:val="en-GB" w:eastAsia="it-IT"/>
        </w:rPr>
        <w:t>was programmed into Excel following the recommendations from the original article and erratum.</w:t>
      </w:r>
      <w:r>
        <w:rPr>
          <w:rFonts w:ascii="Arial" w:hAnsi="Arial" w:cs="Arial"/>
          <w:sz w:val="20"/>
          <w:szCs w:val="20"/>
          <w:vertAlign w:val="superscript"/>
        </w:rPr>
        <w:t xml:space="preserve"> 10</w:t>
      </w:r>
    </w:p>
    <w:p w:rsidR="002651D0" w:rsidRDefault="009A038B">
      <w:pPr>
        <w:pStyle w:val="afd"/>
        <w:spacing w:line="480" w:lineRule="auto"/>
        <w:rPr>
          <w:rFonts w:ascii="Arial" w:hAnsi="Arial" w:cs="Arial"/>
          <w:sz w:val="20"/>
          <w:szCs w:val="20"/>
          <w:lang w:val="en-GB" w:eastAsia="it-IT"/>
        </w:rPr>
      </w:pPr>
      <w:r>
        <w:rPr>
          <w:rFonts w:ascii="Arial" w:hAnsi="Arial" w:cs="Arial"/>
          <w:sz w:val="20"/>
          <w:szCs w:val="20"/>
          <w:lang w:val="en-GB" w:eastAsia="it-IT"/>
        </w:rPr>
        <w:t>13. V</w:t>
      </w:r>
      <w:r w:rsidR="00535167">
        <w:rPr>
          <w:rFonts w:ascii="Arial" w:hAnsi="Arial" w:cs="Arial"/>
          <w:sz w:val="20"/>
          <w:szCs w:val="20"/>
          <w:lang w:val="en-GB" w:eastAsia="it-IT"/>
        </w:rPr>
        <w:t xml:space="preserve">oytsekhivskyy </w:t>
      </w:r>
      <w:r>
        <w:rPr>
          <w:rFonts w:ascii="Arial" w:hAnsi="Arial" w:cs="Arial"/>
          <w:sz w:val="20"/>
          <w:szCs w:val="20"/>
          <w:lang w:val="en-GB" w:eastAsia="it-IT"/>
        </w:rPr>
        <w:t>R</w:t>
      </w:r>
      <w:r w:rsidR="00535167">
        <w:rPr>
          <w:rFonts w:ascii="Arial" w:hAnsi="Arial" w:cs="Arial"/>
          <w:sz w:val="20"/>
          <w:szCs w:val="20"/>
          <w:lang w:val="en-GB" w:eastAsia="it-IT"/>
        </w:rPr>
        <w:t xml:space="preserve">egression </w:t>
      </w:r>
      <w:r>
        <w:rPr>
          <w:rFonts w:ascii="Arial" w:hAnsi="Arial" w:cs="Arial"/>
          <w:sz w:val="20"/>
          <w:szCs w:val="20"/>
          <w:lang w:val="en-GB" w:eastAsia="it-IT"/>
        </w:rPr>
        <w:t>F</w:t>
      </w:r>
      <w:r w:rsidR="00535167">
        <w:rPr>
          <w:rFonts w:ascii="Arial" w:hAnsi="Arial" w:cs="Arial"/>
          <w:sz w:val="20"/>
          <w:szCs w:val="20"/>
          <w:lang w:val="en-GB" w:eastAsia="it-IT"/>
        </w:rPr>
        <w:t>unction (VRF)</w:t>
      </w:r>
      <w:r>
        <w:rPr>
          <w:rFonts w:ascii="Arial" w:hAnsi="Arial" w:cs="Arial"/>
          <w:sz w:val="20"/>
          <w:szCs w:val="20"/>
          <w:lang w:val="en-GB" w:eastAsia="it-IT"/>
        </w:rPr>
        <w:t xml:space="preserve">: this published formula, which was developed by one of the authors (OVV), is a vergence-based thin-lens formula using the optical CACD constant and 4 </w:t>
      </w:r>
      <w:r>
        <w:rPr>
          <w:rFonts w:ascii="Arial" w:hAnsi="Arial" w:cs="Arial"/>
          <w:sz w:val="20"/>
          <w:szCs w:val="20"/>
          <w:lang w:val="en-GB" w:eastAsia="it-IT"/>
        </w:rPr>
        <w:t>variables to calculate the IOL power: AL, K, ACD, and the horizontal CD.</w:t>
      </w:r>
      <w:r>
        <w:rPr>
          <w:rFonts w:ascii="Arial" w:hAnsi="Arial" w:cs="Arial"/>
          <w:sz w:val="20"/>
          <w:szCs w:val="20"/>
          <w:vertAlign w:val="superscript"/>
        </w:rPr>
        <w:t xml:space="preserve"> 11</w:t>
      </w:r>
      <w:r>
        <w:rPr>
          <w:rFonts w:ascii="Arial" w:hAnsi="Arial" w:cs="Arial"/>
          <w:sz w:val="20"/>
          <w:szCs w:val="20"/>
          <w:vertAlign w:val="superscript"/>
          <w:lang w:val="en-GB" w:eastAsia="it-IT"/>
        </w:rPr>
        <w:t xml:space="preserve"> </w:t>
      </w:r>
      <w:r>
        <w:rPr>
          <w:rFonts w:ascii="Arial" w:hAnsi="Arial" w:cs="Arial"/>
          <w:sz w:val="20"/>
          <w:szCs w:val="20"/>
          <w:lang w:val="en-GB" w:eastAsia="it-IT"/>
        </w:rPr>
        <w:t xml:space="preserve"> It was programmed into Excel by the author (OVV).</w:t>
      </w:r>
    </w:p>
    <w:p w:rsidR="002651D0" w:rsidRDefault="00535167">
      <w:pPr>
        <w:pStyle w:val="afd"/>
        <w:spacing w:line="480" w:lineRule="auto"/>
        <w:rPr>
          <w:rFonts w:ascii="Arial" w:hAnsi="Arial" w:cs="Arial"/>
          <w:sz w:val="20"/>
          <w:szCs w:val="20"/>
          <w:lang w:val="en-GB" w:eastAsia="it-IT"/>
        </w:rPr>
      </w:pPr>
      <w:r>
        <w:rPr>
          <w:rFonts w:ascii="Arial" w:hAnsi="Arial" w:cs="Arial"/>
          <w:sz w:val="20"/>
          <w:szCs w:val="20"/>
          <w:lang w:val="en-GB" w:eastAsia="it-IT"/>
        </w:rPr>
        <w:t>14.</w:t>
      </w:r>
      <w:r w:rsidRPr="00535167">
        <w:rPr>
          <w:rFonts w:ascii="Arial" w:hAnsi="Arial" w:cs="Arial"/>
          <w:sz w:val="20"/>
          <w:szCs w:val="20"/>
          <w:lang w:val="en-GB" w:eastAsia="it-IT"/>
        </w:rPr>
        <w:t xml:space="preserve"> </w:t>
      </w:r>
      <w:r>
        <w:rPr>
          <w:rFonts w:ascii="Arial" w:hAnsi="Arial" w:cs="Arial"/>
          <w:sz w:val="20"/>
          <w:szCs w:val="20"/>
          <w:lang w:val="en-GB" w:eastAsia="it-IT"/>
        </w:rPr>
        <w:t>Voytsekhivskyy Regression Function (VRF)</w:t>
      </w:r>
      <w:r>
        <w:rPr>
          <w:rFonts w:ascii="Arial" w:hAnsi="Arial" w:cs="Arial"/>
          <w:sz w:val="20"/>
          <w:szCs w:val="20"/>
          <w:lang w:val="en-GB" w:eastAsia="it-IT"/>
        </w:rPr>
        <w:t xml:space="preserve"> with</w:t>
      </w:r>
      <w:bookmarkStart w:id="0" w:name="_GoBack"/>
      <w:bookmarkEnd w:id="0"/>
      <w:r w:rsidR="009A038B">
        <w:rPr>
          <w:rFonts w:ascii="Arial" w:hAnsi="Arial" w:cs="Arial"/>
          <w:sz w:val="20"/>
          <w:szCs w:val="20"/>
          <w:lang w:val="en-GB" w:eastAsia="it-IT"/>
        </w:rPr>
        <w:t xml:space="preserve"> Cooke-modified AL (hereafter VRF CMAL): this modified version of the VRF formula is based on the AL adjustment proposed b</w:t>
      </w:r>
      <w:r w:rsidR="009A038B">
        <w:rPr>
          <w:rFonts w:ascii="Arial" w:hAnsi="Arial" w:cs="Arial"/>
          <w:sz w:val="20"/>
          <w:szCs w:val="20"/>
          <w:lang w:val="en-GB" w:eastAsia="it-IT"/>
        </w:rPr>
        <w:t>y Cooke.</w:t>
      </w:r>
      <w:r w:rsidR="009A038B">
        <w:rPr>
          <w:rFonts w:ascii="Arial" w:hAnsi="Arial" w:cs="Arial"/>
          <w:sz w:val="20"/>
          <w:szCs w:val="20"/>
          <w:vertAlign w:val="superscript"/>
        </w:rPr>
        <w:t xml:space="preserve"> 12</w:t>
      </w:r>
      <w:r w:rsidR="009A038B">
        <w:rPr>
          <w:rFonts w:ascii="Arial" w:hAnsi="Arial" w:cs="Arial"/>
          <w:sz w:val="20"/>
          <w:szCs w:val="20"/>
          <w:vertAlign w:val="superscript"/>
          <w:lang w:val="en-GB" w:eastAsia="it-IT"/>
        </w:rPr>
        <w:t xml:space="preserve">  </w:t>
      </w:r>
      <w:r w:rsidR="009A038B">
        <w:rPr>
          <w:rFonts w:ascii="Arial" w:hAnsi="Arial" w:cs="Arial"/>
          <w:sz w:val="20"/>
          <w:szCs w:val="20"/>
          <w:lang w:val="en-GB" w:eastAsia="it-IT"/>
        </w:rPr>
        <w:t>A version of CMAL for IOLMaster 500 without using LT was implemented to the formula for AL &gt; 21.90 mm, replacing the original AL correction for eyes ≥ 26.50 mm.  For the short eyes with AL ≤ 21.90 mm the original AL correcting factor of 0.20 m</w:t>
      </w:r>
      <w:r w:rsidR="009A038B">
        <w:rPr>
          <w:rFonts w:ascii="Arial" w:hAnsi="Arial" w:cs="Arial"/>
          <w:sz w:val="20"/>
          <w:szCs w:val="20"/>
          <w:lang w:val="en-GB" w:eastAsia="it-IT"/>
        </w:rPr>
        <w:t>m was used.</w:t>
      </w:r>
      <w:r w:rsidR="009A038B">
        <w:rPr>
          <w:rFonts w:ascii="Arial" w:hAnsi="Arial" w:cs="Arial"/>
          <w:sz w:val="20"/>
          <w:szCs w:val="20"/>
          <w:vertAlign w:val="superscript"/>
        </w:rPr>
        <w:t xml:space="preserve"> 13,14</w:t>
      </w:r>
      <w:r w:rsidR="009A038B">
        <w:rPr>
          <w:rFonts w:ascii="Arial" w:hAnsi="Arial" w:cs="Arial"/>
          <w:sz w:val="20"/>
          <w:szCs w:val="20"/>
          <w:vertAlign w:val="superscript"/>
          <w:lang w:val="en-GB" w:eastAsia="it-IT"/>
        </w:rPr>
        <w:t xml:space="preserve"> </w:t>
      </w:r>
      <w:r w:rsidR="009A038B">
        <w:rPr>
          <w:rFonts w:ascii="Arial" w:hAnsi="Arial" w:cs="Arial"/>
          <w:sz w:val="20"/>
          <w:szCs w:val="20"/>
          <w:lang w:val="en-GB" w:eastAsia="it-IT"/>
        </w:rPr>
        <w:t xml:space="preserve"> It was programmed into Excel by the author (OVV).</w:t>
      </w:r>
    </w:p>
    <w:p w:rsidR="002651D0" w:rsidRDefault="009A038B">
      <w:pPr>
        <w:pStyle w:val="afd"/>
        <w:spacing w:line="480" w:lineRule="auto"/>
        <w:rPr>
          <w:rFonts w:ascii="Arial" w:hAnsi="Arial" w:cs="Arial"/>
          <w:color w:val="FF0000"/>
          <w:sz w:val="20"/>
          <w:szCs w:val="20"/>
          <w:vertAlign w:val="superscript"/>
          <w:lang w:val="en-GB" w:eastAsia="it-IT"/>
        </w:rPr>
      </w:pPr>
      <w:r>
        <w:rPr>
          <w:rFonts w:ascii="Arial" w:hAnsi="Arial" w:cs="Arial"/>
          <w:sz w:val="20"/>
          <w:szCs w:val="20"/>
          <w:lang w:val="en-GB" w:eastAsia="it-IT"/>
        </w:rPr>
        <w:t>15. Voytsekhivskyy ray-tracing (hereafter VRT): this novel formula, developed by the author (OVV), is a paraxial ray-tracing method based on the thin lens assumption that uses empirically</w:t>
      </w:r>
      <w:r>
        <w:rPr>
          <w:rFonts w:ascii="Arial" w:hAnsi="Arial" w:cs="Arial"/>
          <w:sz w:val="20"/>
          <w:szCs w:val="20"/>
          <w:lang w:val="en-GB" w:eastAsia="it-IT"/>
        </w:rPr>
        <w:t xml:space="preserve"> derived ELP algorithm adopted from the VRF formula and Cooke-modified AL to approximate sum-of-segments AL. A version of CMAL that uses LT was implemented in the formula. </w:t>
      </w:r>
      <w:r>
        <w:rPr>
          <w:rFonts w:ascii="Arial" w:hAnsi="Arial" w:cs="Arial"/>
          <w:sz w:val="20"/>
          <w:szCs w:val="20"/>
          <w:vertAlign w:val="superscript"/>
          <w:lang w:val="en-GB" w:eastAsia="it-IT"/>
        </w:rPr>
        <w:t xml:space="preserve">5  </w:t>
      </w:r>
      <w:r>
        <w:rPr>
          <w:rFonts w:ascii="Arial" w:hAnsi="Arial" w:cs="Arial"/>
          <w:sz w:val="20"/>
          <w:szCs w:val="20"/>
          <w:lang w:val="en-GB" w:eastAsia="it-IT"/>
        </w:rPr>
        <w:t>It uses two constants: CACD and Fc constants, and operates 5 variables, including</w:t>
      </w:r>
      <w:r>
        <w:rPr>
          <w:rFonts w:ascii="Arial" w:hAnsi="Arial" w:cs="Arial"/>
          <w:sz w:val="20"/>
          <w:szCs w:val="20"/>
          <w:lang w:val="en-GB" w:eastAsia="it-IT"/>
        </w:rPr>
        <w:t xml:space="preserve"> AL, K, ACD, LT, and horizontal CD. It was programmed into Excel by the author (OVV).</w:t>
      </w:r>
      <w:r>
        <w:rPr>
          <w:rFonts w:ascii="Arial" w:hAnsi="Arial" w:cs="Arial"/>
          <w:sz w:val="20"/>
          <w:szCs w:val="20"/>
          <w:vertAlign w:val="superscript"/>
        </w:rPr>
        <w:t xml:space="preserve"> </w:t>
      </w:r>
      <w:r>
        <w:rPr>
          <w:rFonts w:ascii="Arial" w:hAnsi="Arial" w:cs="Arial"/>
          <w:sz w:val="20"/>
          <w:szCs w:val="20"/>
          <w:lang w:val="en-GB" w:eastAsia="it-IT"/>
        </w:rPr>
        <w:t xml:space="preserve"> </w:t>
      </w:r>
    </w:p>
    <w:p w:rsidR="002651D0" w:rsidRDefault="002651D0">
      <w:pPr>
        <w:pStyle w:val="afd"/>
        <w:spacing w:line="480" w:lineRule="auto"/>
        <w:rPr>
          <w:rFonts w:ascii="Arial" w:hAnsi="Arial" w:cs="Arial"/>
          <w:color w:val="4472C4" w:themeColor="accent5"/>
          <w:sz w:val="20"/>
          <w:szCs w:val="20"/>
          <w:lang w:val="en-GB" w:eastAsia="it-IT"/>
        </w:rPr>
      </w:pPr>
    </w:p>
    <w:p w:rsidR="002651D0" w:rsidRDefault="009A038B">
      <w:pPr>
        <w:pStyle w:val="afd"/>
        <w:spacing w:line="480" w:lineRule="auto"/>
        <w:rPr>
          <w:rFonts w:ascii="Arial" w:hAnsi="Arial" w:cs="Arial"/>
          <w:b/>
          <w:sz w:val="32"/>
          <w:szCs w:val="32"/>
          <w:lang w:val="en-GB" w:eastAsia="it-IT"/>
        </w:rPr>
      </w:pPr>
      <w:r>
        <w:rPr>
          <w:rFonts w:ascii="Arial" w:hAnsi="Arial" w:cs="Arial"/>
          <w:b/>
          <w:sz w:val="32"/>
          <w:szCs w:val="32"/>
          <w:lang w:eastAsia="it-IT"/>
        </w:rPr>
        <w:t>References (</w:t>
      </w:r>
      <w:r>
        <w:rPr>
          <w:rFonts w:ascii="Arial" w:hAnsi="Arial" w:cs="Arial"/>
          <w:b/>
          <w:sz w:val="32"/>
          <w:szCs w:val="32"/>
          <w:lang w:val="en-GB" w:eastAsia="it-IT"/>
        </w:rPr>
        <w:t>supplementary material part 1)</w:t>
      </w:r>
    </w:p>
    <w:p w:rsidR="002651D0" w:rsidRDefault="009A038B">
      <w:pPr>
        <w:pStyle w:val="References"/>
        <w:numPr>
          <w:ilvl w:val="0"/>
          <w:numId w:val="45"/>
        </w:numPr>
        <w:spacing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Haigis W, Lege B, Miller N, Schneider B. Comparison of immersion ultrasound biometry and partial coherence interferometry </w:t>
      </w:r>
      <w:r>
        <w:rPr>
          <w:rFonts w:ascii="Arial" w:hAnsi="Arial" w:cs="Arial"/>
          <w:sz w:val="20"/>
          <w:szCs w:val="20"/>
        </w:rPr>
        <w:t>for intraocular lens calculation according to Haigis. </w:t>
      </w:r>
      <w:r>
        <w:rPr>
          <w:rFonts w:ascii="Arial" w:hAnsi="Arial" w:cs="Arial"/>
          <w:iCs/>
          <w:sz w:val="20"/>
          <w:szCs w:val="20"/>
        </w:rPr>
        <w:t>Graefes Arch Clin Exp Ophthalmol</w:t>
      </w:r>
      <w:r>
        <w:rPr>
          <w:rFonts w:ascii="Arial" w:hAnsi="Arial" w:cs="Arial"/>
          <w:sz w:val="20"/>
          <w:szCs w:val="20"/>
        </w:rPr>
        <w:t>. 2000;238(9):765-773. doi:10.1007/s004170000188.</w:t>
      </w:r>
    </w:p>
    <w:p w:rsidR="002651D0" w:rsidRDefault="009A038B">
      <w:pPr>
        <w:pStyle w:val="a6"/>
        <w:numPr>
          <w:ilvl w:val="0"/>
          <w:numId w:val="45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Hoffer KJ. The Hoffer Q formula: a comparison of theoretic and regression formulas. J Cataract Refract Surg </w:t>
      </w:r>
      <w:r>
        <w:rPr>
          <w:rFonts w:ascii="Arial" w:hAnsi="Arial" w:cs="Arial"/>
          <w:sz w:val="20"/>
          <w:szCs w:val="20"/>
        </w:rPr>
        <w:t>1993;19(6):700-712; errata 1994: 20:677 and 2007;33(1):2-3. doi:10.1016/s0886-3350(13)80338-0, doi:10.1016/j.jcrs.2006.08.054.</w:t>
      </w:r>
    </w:p>
    <w:p w:rsidR="002651D0" w:rsidRDefault="009A038B">
      <w:pPr>
        <w:pStyle w:val="References"/>
        <w:numPr>
          <w:ilvl w:val="0"/>
          <w:numId w:val="45"/>
        </w:numPr>
        <w:spacing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Hoffer KJ. Hoffer formulas. In: Aramberri J, Hoffer KJ, Olsen T, Savini G, Shammas HJ, eds. Intraocular lens calculations. Essent</w:t>
      </w:r>
      <w:r>
        <w:rPr>
          <w:rFonts w:ascii="Arial" w:hAnsi="Arial" w:cs="Arial"/>
          <w:sz w:val="20"/>
          <w:szCs w:val="20"/>
        </w:rPr>
        <w:t xml:space="preserve">ials in Ophthalmology Springer Cham; 2024:649-660. </w:t>
      </w:r>
      <w:hyperlink r:id="rId12" w:history="1">
        <w:r>
          <w:rPr>
            <w:rStyle w:val="a7"/>
            <w:rFonts w:ascii="Arial" w:hAnsi="Arial" w:cs="Arial"/>
            <w:color w:val="auto"/>
            <w:sz w:val="20"/>
            <w:szCs w:val="20"/>
            <w:u w:val="none"/>
          </w:rPr>
          <w:t>doi:10.1007/978-3-031-50666-6_43</w:t>
        </w:r>
      </w:hyperlink>
      <w:r>
        <w:rPr>
          <w:rFonts w:ascii="Arial" w:hAnsi="Arial" w:cs="Arial"/>
          <w:sz w:val="20"/>
          <w:szCs w:val="20"/>
        </w:rPr>
        <w:t>.</w:t>
      </w:r>
    </w:p>
    <w:p w:rsidR="002651D0" w:rsidRDefault="009A038B">
      <w:pPr>
        <w:pStyle w:val="a6"/>
        <w:numPr>
          <w:ilvl w:val="0"/>
          <w:numId w:val="45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Holladay JT, Prager TC, Chandler TY, Musgrove KH, Lewis JW, Ruiz RS. A three-part system for refining intraocu</w:t>
      </w:r>
      <w:r>
        <w:rPr>
          <w:rFonts w:ascii="Arial" w:hAnsi="Arial" w:cs="Arial"/>
          <w:sz w:val="20"/>
          <w:szCs w:val="20"/>
        </w:rPr>
        <w:t>lar lens power calculations. </w:t>
      </w:r>
      <w:r>
        <w:rPr>
          <w:rFonts w:ascii="Arial" w:hAnsi="Arial" w:cs="Arial"/>
          <w:iCs/>
          <w:sz w:val="20"/>
          <w:szCs w:val="20"/>
        </w:rPr>
        <w:t>J Cataract Refract Surg</w:t>
      </w:r>
      <w:r>
        <w:rPr>
          <w:rFonts w:ascii="Arial" w:hAnsi="Arial" w:cs="Arial"/>
          <w:sz w:val="20"/>
          <w:szCs w:val="20"/>
        </w:rPr>
        <w:t>. 1988;14(1):17-24. doi:10.1016/s0886-3350(88)80059-2.</w:t>
      </w:r>
    </w:p>
    <w:p w:rsidR="002651D0" w:rsidRDefault="009A038B">
      <w:pPr>
        <w:pStyle w:val="a6"/>
        <w:numPr>
          <w:ilvl w:val="0"/>
          <w:numId w:val="45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Cooke DL, Cooke TL. Approximating sum-of-segments axial length from a traditional optical low-coherence reflectometry measurement. J Cataract Refract</w:t>
      </w:r>
      <w:r>
        <w:rPr>
          <w:rFonts w:ascii="Arial" w:hAnsi="Arial" w:cs="Arial"/>
          <w:sz w:val="20"/>
          <w:szCs w:val="20"/>
        </w:rPr>
        <w:t xml:space="preserve"> Surg 2019; 45(3):351-354. doi: 10.1016/j.jcrs.2018.12.026.</w:t>
      </w:r>
    </w:p>
    <w:p w:rsidR="002651D0" w:rsidRDefault="009A038B">
      <w:pPr>
        <w:pStyle w:val="a6"/>
        <w:numPr>
          <w:ilvl w:val="0"/>
          <w:numId w:val="45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Melles RB, Kane JX, Olsen T, Chang WJ. Update on intraocular lens power calculation formulas. Ophthalmology 2019; 126(9):1334–1335. doi:10.1016/j.ophtha.2019.04.011.</w:t>
      </w:r>
    </w:p>
    <w:p w:rsidR="002651D0" w:rsidRDefault="009A038B">
      <w:pPr>
        <w:pStyle w:val="a6"/>
        <w:numPr>
          <w:ilvl w:val="0"/>
          <w:numId w:val="45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Norrby S. Norrby formulas for </w:t>
      </w:r>
      <w:r>
        <w:rPr>
          <w:rFonts w:ascii="Arial" w:hAnsi="Arial" w:cs="Arial"/>
          <w:sz w:val="20"/>
          <w:szCs w:val="20"/>
        </w:rPr>
        <w:t>IOL power calculation. In: Aramberri J, Hoffer KJ, Olsen T, Savini G, Shammas HJ, eds. Intraocular lens calculations. Essentials in Ophthalmology Springer Cham; 2024:705-715. doi:10.1007/978-3-031-50666-6_48.</w:t>
      </w:r>
    </w:p>
    <w:p w:rsidR="002651D0" w:rsidRDefault="009A038B">
      <w:pPr>
        <w:pStyle w:val="a6"/>
        <w:numPr>
          <w:ilvl w:val="0"/>
          <w:numId w:val="45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Olsen T, Hoffmann P. C constant: New concept fo</w:t>
      </w:r>
      <w:r>
        <w:rPr>
          <w:rFonts w:ascii="Arial" w:hAnsi="Arial" w:cs="Arial"/>
          <w:sz w:val="20"/>
          <w:szCs w:val="20"/>
        </w:rPr>
        <w:t>r ray tracing–assisted intraocular lens power calculation. J Cataract Refract Surg 2014; 40(5):764-773. doi: 10.1016/j.jcrs.2013.10.037.</w:t>
      </w:r>
    </w:p>
    <w:p w:rsidR="002651D0" w:rsidRDefault="009A038B">
      <w:pPr>
        <w:pStyle w:val="a6"/>
        <w:numPr>
          <w:ilvl w:val="0"/>
          <w:numId w:val="45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Debellemanière G, Dubois M, Gauvin M, et al. The PEARL-DGS Formula: The development of an open-source machine learning-</w:t>
      </w:r>
      <w:r>
        <w:rPr>
          <w:rFonts w:ascii="Arial" w:hAnsi="Arial" w:cs="Arial"/>
          <w:sz w:val="20"/>
          <w:szCs w:val="20"/>
        </w:rPr>
        <w:t>based thick iol calculation formula. Am J Ophthalmol. 2021;232:58-69. doi:10.1016/j.ajo.2021.05.004.</w:t>
      </w:r>
    </w:p>
    <w:p w:rsidR="002651D0" w:rsidRDefault="009A038B">
      <w:pPr>
        <w:pStyle w:val="a6"/>
        <w:numPr>
          <w:ilvl w:val="0"/>
          <w:numId w:val="45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Retzlaff JA, Sanders DR, Kraff MC. Development of the SRK/T intraocular lens implant power calculation formula. J Cataract Refract Surg 1990; 16(3):333-340</w:t>
      </w:r>
      <w:r>
        <w:rPr>
          <w:rFonts w:ascii="Arial" w:hAnsi="Arial" w:cs="Arial"/>
          <w:sz w:val="20"/>
          <w:szCs w:val="20"/>
        </w:rPr>
        <w:t>; erratum: 1990 Jul;16(4):528. doi:10.1016/s0886-3350(13)80705-5. doi: 10.1016/S0886-3350(13)80820-6.</w:t>
      </w:r>
    </w:p>
    <w:p w:rsidR="002651D0" w:rsidRDefault="009A038B">
      <w:pPr>
        <w:pStyle w:val="a6"/>
        <w:numPr>
          <w:ilvl w:val="0"/>
          <w:numId w:val="45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Voytsekhivskyy OV. Accuracy of the VRF and VRF-G intraocular lens power calculation formulas using swept-source optical coherence tomography biometry. Cli</w:t>
      </w:r>
      <w:r>
        <w:rPr>
          <w:rFonts w:ascii="Arial" w:hAnsi="Arial" w:cs="Arial"/>
          <w:sz w:val="20"/>
          <w:szCs w:val="20"/>
        </w:rPr>
        <w:t xml:space="preserve">n Ophthalmol. 2023;17:3663-3672. doi: 10.2147/OPTH.S439287.  </w:t>
      </w:r>
    </w:p>
    <w:p w:rsidR="002651D0" w:rsidRDefault="009A038B">
      <w:pPr>
        <w:pStyle w:val="a6"/>
        <w:numPr>
          <w:ilvl w:val="0"/>
          <w:numId w:val="45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Eom Y, Bae SH, Yang SK, Kim DH, Song JS, Cooke DL. Modified intraocular lens power selection method according to biometric subgroups Eom IOL power calculator. Sci Rep. 2024;14(1):4228. Published</w:t>
      </w:r>
      <w:r>
        <w:rPr>
          <w:rFonts w:ascii="Arial" w:hAnsi="Arial" w:cs="Arial"/>
          <w:sz w:val="20"/>
          <w:szCs w:val="20"/>
        </w:rPr>
        <w:t xml:space="preserve"> 2024 Feb 20. doi:10.1038/s41598-024-54346-9.</w:t>
      </w:r>
    </w:p>
    <w:p w:rsidR="002651D0" w:rsidRDefault="009A038B">
      <w:pPr>
        <w:pStyle w:val="a6"/>
        <w:numPr>
          <w:ilvl w:val="0"/>
          <w:numId w:val="45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Voytsekhivskyy OV. Development and Clinical Accuracy of a New Intraocular Lens Power Formula (VRF) Compared to Other Formulas. Am J Ophthalmol 2018; 185:56–67. doi:10.1016/j.ajo.2017.10.020.</w:t>
      </w:r>
    </w:p>
    <w:p w:rsidR="002651D0" w:rsidRDefault="009A038B">
      <w:pPr>
        <w:pStyle w:val="a6"/>
        <w:numPr>
          <w:ilvl w:val="0"/>
          <w:numId w:val="45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Voytsekhivskyy OV. </w:t>
      </w:r>
      <w:r>
        <w:rPr>
          <w:rFonts w:ascii="Arial" w:hAnsi="Arial" w:cs="Arial"/>
          <w:sz w:val="20"/>
          <w:szCs w:val="20"/>
        </w:rPr>
        <w:t>The VRF and VRF-G formulas. In: Aramberri J, Hoffer KJ, Olsen T, Savini G, Shammas HJ, eds. Intraocular lens calculations. Essentials in Ophthalmology Springer Cham; 2024:783-794. doi:10.1007/978-3-031-50666-6_55.</w:t>
      </w:r>
    </w:p>
    <w:p w:rsidR="002651D0" w:rsidRDefault="002651D0">
      <w:pPr>
        <w:pStyle w:val="a6"/>
        <w:ind w:left="630"/>
        <w:rPr>
          <w:rFonts w:ascii="Arial" w:hAnsi="Arial" w:cs="Arial"/>
          <w:sz w:val="20"/>
          <w:szCs w:val="20"/>
        </w:rPr>
      </w:pPr>
    </w:p>
    <w:p w:rsidR="002651D0" w:rsidRDefault="002651D0">
      <w:pPr>
        <w:pStyle w:val="References"/>
        <w:spacing w:line="480" w:lineRule="auto"/>
        <w:ind w:left="0" w:firstLine="0"/>
        <w:rPr>
          <w:rFonts w:ascii="Arial" w:hAnsi="Arial" w:cs="Arial"/>
          <w:color w:val="4472C4" w:themeColor="accent5"/>
          <w:sz w:val="20"/>
          <w:szCs w:val="20"/>
        </w:rPr>
      </w:pPr>
    </w:p>
    <w:p w:rsidR="002651D0" w:rsidRDefault="002651D0">
      <w:pPr>
        <w:pStyle w:val="References"/>
        <w:spacing w:line="480" w:lineRule="auto"/>
        <w:ind w:left="0" w:firstLine="0"/>
        <w:rPr>
          <w:rFonts w:ascii="Arial" w:hAnsi="Arial" w:cs="Arial"/>
          <w:color w:val="4472C4" w:themeColor="accent5"/>
          <w:sz w:val="20"/>
          <w:szCs w:val="20"/>
        </w:rPr>
      </w:pPr>
    </w:p>
    <w:p w:rsidR="002651D0" w:rsidRDefault="002651D0">
      <w:pPr>
        <w:pStyle w:val="References"/>
        <w:spacing w:line="480" w:lineRule="auto"/>
        <w:ind w:left="0" w:firstLine="0"/>
        <w:rPr>
          <w:rFonts w:ascii="Arial" w:hAnsi="Arial" w:cs="Arial"/>
          <w:color w:val="4472C4" w:themeColor="accent5"/>
          <w:sz w:val="20"/>
          <w:szCs w:val="20"/>
        </w:rPr>
      </w:pPr>
    </w:p>
    <w:p w:rsidR="002651D0" w:rsidRDefault="002651D0">
      <w:pPr>
        <w:pStyle w:val="References"/>
        <w:spacing w:line="480" w:lineRule="auto"/>
        <w:ind w:left="0" w:firstLine="0"/>
        <w:rPr>
          <w:rFonts w:ascii="Arial" w:hAnsi="Arial" w:cs="Arial"/>
          <w:color w:val="4472C4" w:themeColor="accent5"/>
          <w:sz w:val="20"/>
          <w:szCs w:val="20"/>
        </w:rPr>
      </w:pPr>
    </w:p>
    <w:p w:rsidR="002651D0" w:rsidRDefault="002651D0">
      <w:pPr>
        <w:pStyle w:val="References"/>
        <w:spacing w:line="480" w:lineRule="auto"/>
        <w:ind w:left="0" w:firstLine="0"/>
        <w:rPr>
          <w:rFonts w:ascii="Arial" w:hAnsi="Arial" w:cs="Arial"/>
          <w:color w:val="4472C4" w:themeColor="accent5"/>
          <w:sz w:val="20"/>
          <w:szCs w:val="20"/>
        </w:rPr>
      </w:pPr>
    </w:p>
    <w:p w:rsidR="002651D0" w:rsidRDefault="002651D0">
      <w:pPr>
        <w:pStyle w:val="References"/>
        <w:spacing w:line="480" w:lineRule="auto"/>
        <w:ind w:left="0" w:firstLine="0"/>
        <w:rPr>
          <w:rFonts w:ascii="Arial" w:hAnsi="Arial" w:cs="Arial"/>
          <w:color w:val="4472C4" w:themeColor="accent5"/>
          <w:sz w:val="20"/>
          <w:szCs w:val="20"/>
        </w:rPr>
      </w:pPr>
    </w:p>
    <w:p w:rsidR="002651D0" w:rsidRDefault="002651D0">
      <w:pPr>
        <w:pStyle w:val="References"/>
        <w:spacing w:line="480" w:lineRule="auto"/>
        <w:ind w:left="0" w:firstLine="0"/>
        <w:rPr>
          <w:rFonts w:ascii="Arial" w:hAnsi="Arial" w:cs="Arial"/>
          <w:color w:val="4472C4" w:themeColor="accent5"/>
          <w:sz w:val="20"/>
          <w:szCs w:val="20"/>
        </w:rPr>
      </w:pPr>
    </w:p>
    <w:p w:rsidR="002651D0" w:rsidRDefault="009A038B">
      <w:pPr>
        <w:pStyle w:val="afd"/>
        <w:spacing w:line="480" w:lineRule="auto"/>
        <w:rPr>
          <w:rFonts w:ascii="Arial" w:hAnsi="Arial" w:cs="Arial"/>
          <w:b/>
          <w:sz w:val="32"/>
          <w:szCs w:val="32"/>
          <w:lang w:val="en-GB" w:eastAsia="it-IT"/>
        </w:rPr>
      </w:pPr>
      <w:r>
        <w:rPr>
          <w:rFonts w:ascii="Arial" w:hAnsi="Arial" w:cs="Arial"/>
          <w:b/>
          <w:sz w:val="32"/>
          <w:szCs w:val="32"/>
          <w:lang w:val="en-GB" w:eastAsia="it-IT"/>
        </w:rPr>
        <w:t>Supplementary material (Part 2)</w:t>
      </w:r>
    </w:p>
    <w:p w:rsidR="002651D0" w:rsidRDefault="009A038B">
      <w:pPr>
        <w:spacing w:after="160" w:line="259" w:lineRule="auto"/>
        <w:rPr>
          <w:rFonts w:ascii="Arial" w:eastAsiaTheme="minorHAnsi" w:hAnsi="Arial" w:cs="Arial"/>
          <w:b/>
          <w:sz w:val="32"/>
          <w:szCs w:val="32"/>
          <w:lang w:val="en-US" w:eastAsia="en-US"/>
        </w:rPr>
      </w:pPr>
      <w:r>
        <w:rPr>
          <w:rFonts w:ascii="Arial" w:eastAsiaTheme="minorHAnsi" w:hAnsi="Arial" w:cs="Arial"/>
          <w:b/>
          <w:sz w:val="32"/>
          <w:szCs w:val="32"/>
          <w:lang w:val="en-US" w:eastAsia="en-US"/>
        </w:rPr>
        <w:t xml:space="preserve">Voytsekhivskyy Ray-Tracing (VRT) Formula </w:t>
      </w:r>
    </w:p>
    <w:p w:rsidR="002651D0" w:rsidRDefault="009A038B">
      <w:pPr>
        <w:spacing w:after="160" w:line="259" w:lineRule="auto"/>
        <w:rPr>
          <w:rFonts w:ascii="Arial" w:eastAsiaTheme="minorHAnsi" w:hAnsi="Arial" w:cs="Arial"/>
          <w:b/>
          <w:i/>
          <w:sz w:val="20"/>
          <w:szCs w:val="20"/>
          <w:lang w:val="en-US" w:eastAsia="en-US"/>
        </w:rPr>
      </w:pPr>
      <w:r>
        <w:rPr>
          <w:rFonts w:ascii="Arial" w:eastAsiaTheme="minorHAnsi" w:hAnsi="Arial" w:cs="Arial"/>
          <w:b/>
          <w:i/>
          <w:sz w:val="20"/>
          <w:szCs w:val="20"/>
          <w:lang w:val="en-US" w:eastAsia="en-US"/>
        </w:rPr>
        <w:t>1) Geometrical Back Focal Distance (GBFD):</w:t>
      </w:r>
    </w:p>
    <w:p w:rsidR="002651D0" w:rsidRDefault="009A038B">
      <w:pPr>
        <w:spacing w:after="160" w:line="259" w:lineRule="auto"/>
        <w:rPr>
          <w:rFonts w:ascii="Arial" w:eastAsiaTheme="minorHAnsi" w:hAnsi="Arial" w:cs="Arial"/>
          <w:sz w:val="20"/>
          <w:szCs w:val="20"/>
          <w:lang w:val="en-US" w:eastAsia="en-US"/>
        </w:rPr>
      </w:pPr>
      <w:r>
        <w:rPr>
          <w:rFonts w:ascii="Arial" w:eastAsiaTheme="minorHAnsi" w:hAnsi="Arial" w:cs="Arial"/>
          <w:b/>
          <w:i/>
          <w:sz w:val="20"/>
          <w:szCs w:val="20"/>
          <w:lang w:val="en-US" w:eastAsia="en-US"/>
        </w:rPr>
        <w:t>GBFD</w:t>
      </w:r>
      <w:r>
        <w:rPr>
          <w:rFonts w:ascii="Arial" w:eastAsiaTheme="minorHAnsi" w:hAnsi="Arial" w:cs="Arial"/>
          <w:sz w:val="20"/>
          <w:szCs w:val="20"/>
          <w:lang w:val="en-US" w:eastAsia="en-US"/>
        </w:rPr>
        <w:t xml:space="preserve">=ALtru-ELPt+RCF+IOLo ;  </w:t>
      </w:r>
    </w:p>
    <w:p w:rsidR="002651D0" w:rsidRDefault="009A038B">
      <w:pPr>
        <w:spacing w:after="160" w:line="259" w:lineRule="auto"/>
        <w:rPr>
          <w:rFonts w:ascii="Arial" w:eastAsiaTheme="minorHAnsi" w:hAnsi="Arial" w:cs="Arial"/>
          <w:sz w:val="20"/>
          <w:szCs w:val="20"/>
          <w:lang w:val="en-US" w:eastAsia="en-US"/>
        </w:rPr>
      </w:pPr>
      <w:r>
        <w:rPr>
          <w:rFonts w:ascii="Arial" w:eastAsiaTheme="minorHAnsi" w:hAnsi="Arial" w:cs="Arial"/>
          <w:sz w:val="20"/>
          <w:szCs w:val="20"/>
          <w:lang w:val="en-US" w:eastAsia="en-US"/>
        </w:rPr>
        <w:t xml:space="preserve">where </w:t>
      </w:r>
    </w:p>
    <w:p w:rsidR="002651D0" w:rsidRDefault="009A038B">
      <w:pPr>
        <w:spacing w:after="160" w:line="259" w:lineRule="auto"/>
        <w:rPr>
          <w:rFonts w:ascii="Arial" w:eastAsiaTheme="minorHAnsi" w:hAnsi="Arial" w:cs="Arial"/>
          <w:sz w:val="20"/>
          <w:szCs w:val="20"/>
          <w:lang w:val="en-US" w:eastAsia="en-US"/>
        </w:rPr>
      </w:pPr>
      <w:r>
        <w:rPr>
          <w:rFonts w:ascii="Arial" w:eastAsiaTheme="minorHAnsi" w:hAnsi="Arial" w:cs="Arial"/>
          <w:sz w:val="20"/>
          <w:szCs w:val="20"/>
          <w:lang w:val="en-US" w:eastAsia="en-US"/>
        </w:rPr>
        <w:t xml:space="preserve">ALtru - true axial length;  </w:t>
      </w:r>
    </w:p>
    <w:p w:rsidR="002651D0" w:rsidRDefault="009A038B">
      <w:pPr>
        <w:spacing w:after="160" w:line="259" w:lineRule="auto"/>
        <w:rPr>
          <w:rFonts w:ascii="Arial" w:eastAsiaTheme="minorHAnsi" w:hAnsi="Arial" w:cs="Arial"/>
          <w:sz w:val="20"/>
          <w:szCs w:val="20"/>
          <w:lang w:val="en-US" w:eastAsia="en-US"/>
        </w:rPr>
      </w:pPr>
      <w:r>
        <w:rPr>
          <w:rFonts w:ascii="Arial" w:eastAsiaTheme="minorHAnsi" w:hAnsi="Arial" w:cs="Arial"/>
          <w:sz w:val="20"/>
          <w:szCs w:val="20"/>
          <w:lang w:val="en-US" w:eastAsia="en-US"/>
        </w:rPr>
        <w:t>ELPt - teoretically derived estimated lens position;</w:t>
      </w:r>
    </w:p>
    <w:p w:rsidR="002651D0" w:rsidRDefault="009A038B">
      <w:pPr>
        <w:spacing w:after="160" w:line="259" w:lineRule="auto"/>
        <w:rPr>
          <w:rFonts w:ascii="Arial" w:eastAsiaTheme="minorHAnsi" w:hAnsi="Arial" w:cs="Arial"/>
          <w:sz w:val="20"/>
          <w:szCs w:val="20"/>
          <w:lang w:val="en-US" w:eastAsia="en-US"/>
        </w:rPr>
      </w:pPr>
      <w:r>
        <w:rPr>
          <w:rFonts w:ascii="Arial" w:eastAsiaTheme="minorHAnsi" w:hAnsi="Arial" w:cs="Arial"/>
          <w:sz w:val="20"/>
          <w:szCs w:val="20"/>
          <w:lang w:val="en-US" w:eastAsia="en-US"/>
        </w:rPr>
        <w:t xml:space="preserve">RCF - retina correction factor;    </w:t>
      </w:r>
    </w:p>
    <w:p w:rsidR="002651D0" w:rsidRDefault="009A038B">
      <w:pPr>
        <w:spacing w:after="160" w:line="259" w:lineRule="auto"/>
        <w:rPr>
          <w:rFonts w:ascii="Arial" w:eastAsiaTheme="minorHAnsi" w:hAnsi="Arial" w:cs="Arial"/>
          <w:sz w:val="20"/>
          <w:szCs w:val="20"/>
          <w:lang w:val="en-US" w:eastAsia="en-US"/>
        </w:rPr>
      </w:pPr>
      <w:r>
        <w:rPr>
          <w:rFonts w:ascii="Arial" w:eastAsiaTheme="minorHAnsi" w:hAnsi="Arial" w:cs="Arial"/>
          <w:sz w:val="20"/>
          <w:szCs w:val="20"/>
          <w:lang w:val="en-US" w:eastAsia="en-US"/>
        </w:rPr>
        <w:t xml:space="preserve">IOLo - IOL offset;  </w:t>
      </w:r>
    </w:p>
    <w:p w:rsidR="002651D0" w:rsidRDefault="009A038B">
      <w:pPr>
        <w:spacing w:after="160" w:line="259" w:lineRule="auto"/>
        <w:rPr>
          <w:rFonts w:ascii="Arial" w:eastAsiaTheme="minorHAnsi" w:hAnsi="Arial" w:cs="Arial"/>
          <w:sz w:val="20"/>
          <w:szCs w:val="20"/>
          <w:lang w:val="en-US" w:eastAsia="en-US"/>
        </w:rPr>
      </w:pPr>
      <w:r>
        <w:rPr>
          <w:rFonts w:ascii="Arial" w:eastAsiaTheme="minorHAnsi" w:hAnsi="Arial" w:cs="Arial"/>
          <w:sz w:val="20"/>
          <w:szCs w:val="20"/>
          <w:lang w:val="en-US" w:eastAsia="en-US"/>
        </w:rPr>
        <w:t xml:space="preserve">ALtru = (AL(CMAL)+RT);  </w:t>
      </w:r>
    </w:p>
    <w:p w:rsidR="002651D0" w:rsidRDefault="009A038B">
      <w:pPr>
        <w:spacing w:after="160" w:line="259" w:lineRule="auto"/>
        <w:rPr>
          <w:rFonts w:ascii="Arial" w:eastAsiaTheme="minorHAnsi" w:hAnsi="Arial" w:cs="Arial"/>
          <w:sz w:val="20"/>
          <w:szCs w:val="20"/>
          <w:lang w:val="en-US" w:eastAsia="en-US"/>
        </w:rPr>
      </w:pPr>
      <w:r>
        <w:rPr>
          <w:rFonts w:ascii="Arial" w:eastAsiaTheme="minorHAnsi" w:hAnsi="Arial" w:cs="Arial"/>
          <w:sz w:val="20"/>
          <w:szCs w:val="20"/>
          <w:lang w:val="en-US" w:eastAsia="en-US"/>
        </w:rPr>
        <w:t xml:space="preserve">where </w:t>
      </w:r>
    </w:p>
    <w:p w:rsidR="002651D0" w:rsidRDefault="009A038B">
      <w:pPr>
        <w:spacing w:after="160" w:line="259" w:lineRule="auto"/>
        <w:rPr>
          <w:rFonts w:ascii="Arial" w:eastAsiaTheme="minorHAnsi" w:hAnsi="Arial" w:cs="Arial"/>
          <w:sz w:val="20"/>
          <w:szCs w:val="20"/>
          <w:lang w:val="en-US" w:eastAsia="en-US"/>
        </w:rPr>
      </w:pPr>
      <w:r>
        <w:rPr>
          <w:rFonts w:ascii="Arial" w:eastAsiaTheme="minorHAnsi" w:hAnsi="Arial" w:cs="Arial"/>
          <w:sz w:val="20"/>
          <w:szCs w:val="20"/>
          <w:lang w:val="en-US" w:eastAsia="en-US"/>
        </w:rPr>
        <w:t>AL(CMAL) - Cooke modified axial length;</w:t>
      </w:r>
    </w:p>
    <w:p w:rsidR="002651D0" w:rsidRDefault="009A038B">
      <w:pPr>
        <w:spacing w:after="160" w:line="259" w:lineRule="auto"/>
        <w:rPr>
          <w:rFonts w:ascii="Arial" w:eastAsiaTheme="minorHAnsi" w:hAnsi="Arial" w:cs="Arial"/>
          <w:sz w:val="20"/>
          <w:szCs w:val="20"/>
          <w:lang w:val="en-US" w:eastAsia="en-US"/>
        </w:rPr>
      </w:pPr>
      <w:r>
        <w:rPr>
          <w:rFonts w:ascii="Arial" w:eastAsiaTheme="minorHAnsi" w:hAnsi="Arial" w:cs="Arial"/>
          <w:sz w:val="20"/>
          <w:szCs w:val="20"/>
          <w:lang w:val="en-US" w:eastAsia="en-US"/>
        </w:rPr>
        <w:t xml:space="preserve">RT – retina thickness; RT = +0.20; </w:t>
      </w:r>
    </w:p>
    <w:p w:rsidR="002651D0" w:rsidRDefault="009A038B">
      <w:pPr>
        <w:spacing w:after="160" w:line="259" w:lineRule="auto"/>
        <w:rPr>
          <w:rFonts w:ascii="Arial" w:eastAsiaTheme="minorHAnsi" w:hAnsi="Arial" w:cs="Arial"/>
          <w:sz w:val="20"/>
          <w:szCs w:val="20"/>
          <w:lang w:val="en-US" w:eastAsia="en-US"/>
        </w:rPr>
      </w:pPr>
      <w:r>
        <w:rPr>
          <w:rFonts w:ascii="Arial" w:eastAsiaTheme="minorHAnsi" w:hAnsi="Arial" w:cs="Arial"/>
          <w:sz w:val="20"/>
          <w:szCs w:val="20"/>
          <w:lang w:val="en-US" w:eastAsia="en-US"/>
        </w:rPr>
        <w:t>AL(CMAL)=(1.23853+0.95855*ALo-0.05467*LT);</w:t>
      </w:r>
    </w:p>
    <w:p w:rsidR="002651D0" w:rsidRDefault="009A038B">
      <w:pPr>
        <w:spacing w:after="160" w:line="259" w:lineRule="auto"/>
        <w:rPr>
          <w:rFonts w:ascii="Arial" w:eastAsiaTheme="minorHAnsi" w:hAnsi="Arial" w:cs="Arial"/>
          <w:sz w:val="20"/>
          <w:szCs w:val="20"/>
          <w:lang w:val="en-US" w:eastAsia="en-US"/>
        </w:rPr>
      </w:pPr>
      <w:r>
        <w:rPr>
          <w:rFonts w:ascii="Arial" w:eastAsiaTheme="minorHAnsi" w:hAnsi="Arial" w:cs="Arial"/>
          <w:sz w:val="20"/>
          <w:szCs w:val="20"/>
          <w:lang w:val="en-US" w:eastAsia="en-US"/>
        </w:rPr>
        <w:t xml:space="preserve">where </w:t>
      </w:r>
    </w:p>
    <w:p w:rsidR="002651D0" w:rsidRDefault="009A038B">
      <w:pPr>
        <w:spacing w:after="160" w:line="259" w:lineRule="auto"/>
        <w:rPr>
          <w:rFonts w:ascii="Arial" w:eastAsiaTheme="minorHAnsi" w:hAnsi="Arial" w:cs="Arial"/>
          <w:sz w:val="20"/>
          <w:szCs w:val="20"/>
          <w:lang w:val="en-US" w:eastAsia="en-US"/>
        </w:rPr>
      </w:pPr>
      <w:r>
        <w:rPr>
          <w:rFonts w:ascii="Arial" w:eastAsiaTheme="minorHAnsi" w:hAnsi="Arial" w:cs="Arial"/>
          <w:sz w:val="20"/>
          <w:szCs w:val="20"/>
          <w:lang w:val="en-US" w:eastAsia="en-US"/>
        </w:rPr>
        <w:t>ALo - AL optical ;</w:t>
      </w:r>
    </w:p>
    <w:p w:rsidR="002651D0" w:rsidRDefault="009A038B">
      <w:pPr>
        <w:spacing w:after="160" w:line="259" w:lineRule="auto"/>
        <w:rPr>
          <w:rFonts w:ascii="Arial" w:eastAsiaTheme="minorHAnsi" w:hAnsi="Arial" w:cs="Arial"/>
          <w:sz w:val="20"/>
          <w:szCs w:val="20"/>
          <w:lang w:val="en-US" w:eastAsia="en-US"/>
        </w:rPr>
      </w:pPr>
      <w:r>
        <w:rPr>
          <w:rFonts w:ascii="Arial" w:eastAsiaTheme="minorHAnsi" w:hAnsi="Arial" w:cs="Arial"/>
          <w:sz w:val="20"/>
          <w:szCs w:val="20"/>
          <w:lang w:val="en-US" w:eastAsia="en-US"/>
        </w:rPr>
        <w:t>LT – lens thickness;</w:t>
      </w:r>
    </w:p>
    <w:p w:rsidR="002651D0" w:rsidRDefault="009A038B">
      <w:pPr>
        <w:spacing w:after="160" w:line="259" w:lineRule="auto"/>
        <w:rPr>
          <w:rFonts w:ascii="Arial" w:eastAsiaTheme="minorHAnsi" w:hAnsi="Arial" w:cs="Arial"/>
          <w:sz w:val="20"/>
          <w:szCs w:val="20"/>
          <w:lang w:val="en-US" w:eastAsia="en-US"/>
        </w:rPr>
      </w:pPr>
      <w:r>
        <w:rPr>
          <w:rFonts w:ascii="Arial" w:eastAsiaTheme="minorHAnsi" w:hAnsi="Arial" w:cs="Arial"/>
          <w:sz w:val="20"/>
          <w:szCs w:val="20"/>
          <w:lang w:val="en-US" w:eastAsia="en-US"/>
        </w:rPr>
        <w:t xml:space="preserve">ELPt = f (CACD; AL(CMAL); K; ACDpre; </w:t>
      </w:r>
      <w:r>
        <w:rPr>
          <w:rFonts w:ascii="Arial" w:eastAsiaTheme="minorHAnsi" w:hAnsi="Arial" w:cs="Arial"/>
          <w:sz w:val="20"/>
          <w:szCs w:val="20"/>
          <w:lang w:val="en-US" w:eastAsia="en-US"/>
        </w:rPr>
        <w:t xml:space="preserve">LT; CD);   </w:t>
      </w:r>
    </w:p>
    <w:p w:rsidR="002651D0" w:rsidRDefault="009A038B">
      <w:pPr>
        <w:spacing w:after="160" w:line="259" w:lineRule="auto"/>
        <w:rPr>
          <w:rFonts w:ascii="Arial" w:eastAsiaTheme="minorHAnsi" w:hAnsi="Arial" w:cs="Arial"/>
          <w:sz w:val="20"/>
          <w:szCs w:val="20"/>
          <w:lang w:val="en-US" w:eastAsia="en-US"/>
        </w:rPr>
      </w:pPr>
      <w:r>
        <w:rPr>
          <w:rFonts w:ascii="Arial" w:eastAsiaTheme="minorHAnsi" w:hAnsi="Arial" w:cs="Arial"/>
          <w:sz w:val="20"/>
          <w:szCs w:val="20"/>
          <w:lang w:val="en-US" w:eastAsia="en-US"/>
        </w:rPr>
        <w:t>ELPt = (((CACD*0.051)-0.006)*(1.23853+0.95855*ALo-0.05467*LT))+(((CACD*0.019)-0.008) *(337.5/Ra))+(((CACD*0.053)+0.005)*ACDpre)-(((CACD*0.013)-0.003)*CD)-((CACD*0.959)-0.013);</w:t>
      </w:r>
    </w:p>
    <w:p w:rsidR="002651D0" w:rsidRDefault="009A038B">
      <w:pPr>
        <w:spacing w:after="160" w:line="259" w:lineRule="auto"/>
        <w:rPr>
          <w:rFonts w:ascii="Arial" w:eastAsiaTheme="minorHAnsi" w:hAnsi="Arial" w:cs="Arial"/>
          <w:sz w:val="20"/>
          <w:szCs w:val="20"/>
          <w:lang w:val="en-US" w:eastAsia="en-US"/>
        </w:rPr>
      </w:pPr>
      <w:r>
        <w:rPr>
          <w:rFonts w:ascii="Arial" w:eastAsiaTheme="minorHAnsi" w:hAnsi="Arial" w:cs="Arial"/>
          <w:sz w:val="20"/>
          <w:szCs w:val="20"/>
          <w:lang w:val="en-US" w:eastAsia="en-US"/>
        </w:rPr>
        <w:t>Optical CACD constant=(Optical A-constant*0.62467)-68.82;</w:t>
      </w:r>
    </w:p>
    <w:p w:rsidR="002651D0" w:rsidRDefault="009A038B">
      <w:pPr>
        <w:spacing w:after="160" w:line="259" w:lineRule="auto"/>
        <w:rPr>
          <w:rFonts w:ascii="Arial" w:eastAsiaTheme="minorHAnsi" w:hAnsi="Arial" w:cs="Arial"/>
          <w:sz w:val="20"/>
          <w:szCs w:val="20"/>
          <w:lang w:val="en-US" w:eastAsia="en-US"/>
        </w:rPr>
      </w:pPr>
      <w:r>
        <w:rPr>
          <w:rFonts w:ascii="Arial" w:eastAsiaTheme="minorHAnsi" w:hAnsi="Arial" w:cs="Arial"/>
          <w:sz w:val="20"/>
          <w:szCs w:val="20"/>
          <w:lang w:val="en-US" w:eastAsia="en-US"/>
        </w:rPr>
        <w:t>ELPt corne</w:t>
      </w:r>
      <w:r>
        <w:rPr>
          <w:rFonts w:ascii="Arial" w:eastAsiaTheme="minorHAnsi" w:hAnsi="Arial" w:cs="Arial"/>
          <w:sz w:val="20"/>
          <w:szCs w:val="20"/>
          <w:lang w:val="en-US" w:eastAsia="en-US"/>
        </w:rPr>
        <w:t>al power K = 337.5/Ra;</w:t>
      </w:r>
    </w:p>
    <w:p w:rsidR="002651D0" w:rsidRDefault="009A038B">
      <w:pPr>
        <w:spacing w:after="160" w:line="259" w:lineRule="auto"/>
        <w:rPr>
          <w:rFonts w:ascii="Arial" w:eastAsiaTheme="minorHAnsi" w:hAnsi="Arial" w:cs="Arial"/>
          <w:sz w:val="20"/>
          <w:szCs w:val="20"/>
          <w:lang w:val="en-US" w:eastAsia="en-US"/>
        </w:rPr>
      </w:pPr>
      <w:r>
        <w:rPr>
          <w:rFonts w:ascii="Arial" w:eastAsiaTheme="minorHAnsi" w:hAnsi="Arial" w:cs="Arial"/>
          <w:sz w:val="20"/>
          <w:szCs w:val="20"/>
          <w:lang w:val="en-US" w:eastAsia="en-US"/>
        </w:rPr>
        <w:t>ACDpre – preoperative anterior chamber depth, mm;</w:t>
      </w:r>
    </w:p>
    <w:p w:rsidR="002651D0" w:rsidRDefault="009A038B">
      <w:pPr>
        <w:spacing w:after="160" w:line="259" w:lineRule="auto"/>
        <w:rPr>
          <w:rFonts w:ascii="Arial" w:eastAsiaTheme="minorHAnsi" w:hAnsi="Arial" w:cs="Arial"/>
          <w:sz w:val="20"/>
          <w:szCs w:val="20"/>
          <w:lang w:val="en-US" w:eastAsia="en-US"/>
        </w:rPr>
      </w:pPr>
      <w:r>
        <w:rPr>
          <w:rFonts w:ascii="Arial" w:eastAsiaTheme="minorHAnsi" w:hAnsi="Arial" w:cs="Arial"/>
          <w:sz w:val="20"/>
          <w:szCs w:val="20"/>
          <w:lang w:val="en-US" w:eastAsia="en-US"/>
        </w:rPr>
        <w:t>CD – horizontal corneal diameter (HWTW), mm;</w:t>
      </w:r>
    </w:p>
    <w:p w:rsidR="002651D0" w:rsidRDefault="009A038B">
      <w:pPr>
        <w:spacing w:after="160" w:line="259" w:lineRule="auto"/>
        <w:rPr>
          <w:rFonts w:ascii="Arial" w:eastAsiaTheme="minorHAnsi" w:hAnsi="Arial" w:cs="Arial"/>
          <w:sz w:val="20"/>
          <w:szCs w:val="20"/>
          <w:lang w:val="en-US" w:eastAsia="en-US"/>
        </w:rPr>
      </w:pPr>
      <w:r>
        <w:rPr>
          <w:rFonts w:ascii="Arial" w:eastAsiaTheme="minorHAnsi" w:hAnsi="Arial" w:cs="Arial"/>
          <w:sz w:val="20"/>
          <w:szCs w:val="20"/>
          <w:lang w:val="en-US" w:eastAsia="en-US"/>
        </w:rPr>
        <w:t>RCF = retina correction factor;</w:t>
      </w:r>
    </w:p>
    <w:p w:rsidR="002651D0" w:rsidRDefault="009A038B">
      <w:pPr>
        <w:spacing w:after="160" w:line="259" w:lineRule="auto"/>
        <w:rPr>
          <w:rFonts w:ascii="Arial" w:eastAsiaTheme="minorHAnsi" w:hAnsi="Arial" w:cs="Arial"/>
          <w:sz w:val="20"/>
          <w:szCs w:val="20"/>
          <w:lang w:val="en-US" w:eastAsia="en-US"/>
        </w:rPr>
      </w:pPr>
      <w:r>
        <w:rPr>
          <w:rFonts w:ascii="Arial" w:eastAsiaTheme="minorHAnsi" w:hAnsi="Arial" w:cs="Arial"/>
          <w:sz w:val="20"/>
          <w:szCs w:val="20"/>
          <w:lang w:val="en-US" w:eastAsia="en-US"/>
        </w:rPr>
        <w:t xml:space="preserve">Depending on the ALo the RCF was set as: </w:t>
      </w:r>
    </w:p>
    <w:p w:rsidR="002651D0" w:rsidRDefault="009A038B">
      <w:pPr>
        <w:spacing w:after="160" w:line="259" w:lineRule="auto"/>
        <w:rPr>
          <w:rFonts w:ascii="Arial" w:eastAsiaTheme="minorHAnsi" w:hAnsi="Arial" w:cs="Arial"/>
          <w:sz w:val="20"/>
          <w:szCs w:val="20"/>
          <w:lang w:val="en-US" w:eastAsia="en-US"/>
        </w:rPr>
      </w:pPr>
      <w:r>
        <w:rPr>
          <w:rFonts w:ascii="Arial" w:eastAsiaTheme="minorHAnsi" w:hAnsi="Arial" w:cs="Arial"/>
          <w:sz w:val="20"/>
          <w:szCs w:val="20"/>
          <w:lang w:val="en-US" w:eastAsia="en-US"/>
        </w:rPr>
        <w:t xml:space="preserve">if ALo ≤ 22.00 mm, RCF = -0.04; </w:t>
      </w:r>
    </w:p>
    <w:p w:rsidR="002651D0" w:rsidRDefault="009A038B">
      <w:pPr>
        <w:spacing w:after="160" w:line="259" w:lineRule="auto"/>
        <w:rPr>
          <w:rFonts w:ascii="Arial" w:eastAsiaTheme="minorHAnsi" w:hAnsi="Arial" w:cs="Arial"/>
          <w:sz w:val="20"/>
          <w:szCs w:val="20"/>
          <w:lang w:val="en-US" w:eastAsia="en-US"/>
        </w:rPr>
      </w:pPr>
      <w:r>
        <w:rPr>
          <w:rFonts w:ascii="Arial" w:eastAsiaTheme="minorHAnsi" w:hAnsi="Arial" w:cs="Arial"/>
          <w:sz w:val="20"/>
          <w:szCs w:val="20"/>
          <w:lang w:val="en-US" w:eastAsia="en-US"/>
        </w:rPr>
        <w:t xml:space="preserve">if 22.01 mm ≤ ALo ≤ 24.49 mm, RCF = +0.025 ; </w:t>
      </w:r>
    </w:p>
    <w:p w:rsidR="002651D0" w:rsidRDefault="009A038B">
      <w:pPr>
        <w:spacing w:after="160" w:line="259" w:lineRule="auto"/>
        <w:rPr>
          <w:rFonts w:ascii="Arial" w:eastAsiaTheme="minorHAnsi" w:hAnsi="Arial" w:cs="Arial"/>
          <w:sz w:val="20"/>
          <w:szCs w:val="20"/>
          <w:lang w:val="en-US" w:eastAsia="en-US"/>
        </w:rPr>
      </w:pPr>
      <w:r>
        <w:rPr>
          <w:rFonts w:ascii="Arial" w:eastAsiaTheme="minorHAnsi" w:hAnsi="Arial" w:cs="Arial"/>
          <w:sz w:val="20"/>
          <w:szCs w:val="20"/>
          <w:lang w:val="en-US" w:eastAsia="en-US"/>
        </w:rPr>
        <w:t xml:space="preserve"> if ALo ≥ 24.5 mm,  RCF = +0.022;</w:t>
      </w:r>
    </w:p>
    <w:p w:rsidR="002651D0" w:rsidRDefault="009A038B">
      <w:pPr>
        <w:spacing w:after="160" w:line="259" w:lineRule="auto"/>
        <w:rPr>
          <w:rFonts w:ascii="Arial" w:eastAsiaTheme="minorHAnsi" w:hAnsi="Arial" w:cs="Arial"/>
          <w:sz w:val="20"/>
          <w:szCs w:val="20"/>
          <w:lang w:val="en-US" w:eastAsia="en-US"/>
        </w:rPr>
      </w:pPr>
      <w:r>
        <w:rPr>
          <w:rFonts w:ascii="Arial" w:eastAsiaTheme="minorHAnsi" w:hAnsi="Arial" w:cs="Arial"/>
          <w:sz w:val="20"/>
          <w:szCs w:val="20"/>
          <w:lang w:val="en-US" w:eastAsia="en-US"/>
        </w:rPr>
        <w:t>IOLo = IOL offset = 0;</w:t>
      </w:r>
    </w:p>
    <w:p w:rsidR="002651D0" w:rsidRDefault="009A038B">
      <w:pPr>
        <w:spacing w:after="160" w:line="259" w:lineRule="auto"/>
        <w:rPr>
          <w:rFonts w:ascii="Arial" w:eastAsiaTheme="minorHAnsi" w:hAnsi="Arial" w:cs="Arial"/>
          <w:i/>
          <w:sz w:val="20"/>
          <w:szCs w:val="20"/>
          <w:lang w:val="en-US" w:eastAsia="en-US"/>
        </w:rPr>
      </w:pPr>
      <w:r>
        <w:rPr>
          <w:rFonts w:ascii="Arial" w:eastAsiaTheme="minorHAnsi" w:hAnsi="Arial" w:cs="Arial"/>
          <w:i/>
          <w:sz w:val="20"/>
          <w:szCs w:val="20"/>
          <w:u w:val="single"/>
          <w:lang w:val="en-US" w:eastAsia="en-US"/>
        </w:rPr>
        <w:t>Final equation of GBFD</w:t>
      </w:r>
      <w:r>
        <w:rPr>
          <w:rFonts w:ascii="Arial" w:eastAsiaTheme="minorHAnsi" w:hAnsi="Arial" w:cs="Arial"/>
          <w:i/>
          <w:sz w:val="20"/>
          <w:szCs w:val="20"/>
          <w:lang w:val="en-US" w:eastAsia="en-US"/>
        </w:rPr>
        <w:t xml:space="preserve">: </w:t>
      </w:r>
    </w:p>
    <w:p w:rsidR="002651D0" w:rsidRDefault="009A038B">
      <w:pPr>
        <w:spacing w:after="160" w:line="259" w:lineRule="auto"/>
        <w:rPr>
          <w:rFonts w:ascii="Arial" w:eastAsiaTheme="minorHAnsi" w:hAnsi="Arial" w:cs="Arial"/>
          <w:sz w:val="20"/>
          <w:szCs w:val="20"/>
          <w:lang w:val="en-US" w:eastAsia="en-US"/>
        </w:rPr>
      </w:pPr>
      <w:r>
        <w:rPr>
          <w:rFonts w:ascii="Arial" w:eastAsiaTheme="minorHAnsi" w:hAnsi="Arial" w:cs="Arial"/>
          <w:b/>
          <w:i/>
          <w:sz w:val="20"/>
          <w:szCs w:val="20"/>
          <w:lang w:val="en-US" w:eastAsia="en-US"/>
        </w:rPr>
        <w:t>GBFD</w:t>
      </w:r>
      <w:r>
        <w:rPr>
          <w:rFonts w:ascii="Arial" w:eastAsiaTheme="minorHAnsi" w:hAnsi="Arial" w:cs="Arial"/>
          <w:sz w:val="20"/>
          <w:szCs w:val="20"/>
          <w:lang w:val="en-US" w:eastAsia="en-US"/>
        </w:rPr>
        <w:t xml:space="preserve"> = ((1.23853+0.95855*ALo-0.05467*LT)+0.2)-((((CACD*0.051)-0.006)* (1.23853+0.95855*ALo-0.05467*LT))+(((CACD*0.019)-0.008) *K</w:t>
      </w:r>
      <w:r>
        <w:rPr>
          <w:rFonts w:ascii="Arial" w:eastAsiaTheme="minorHAnsi" w:hAnsi="Arial" w:cs="Arial"/>
          <w:sz w:val="20"/>
          <w:szCs w:val="20"/>
          <w:lang w:val="en-US" w:eastAsia="en-US"/>
        </w:rPr>
        <w:t>)+(((CACD*0.053)+0.005)*ACDpre)-(((CACD*0.013)-0.003)*CD)-((CACD*0.959)-0.013))+(if (ALo &lt;=22, -0.04, if (ALo &gt;=24.5, 0.022, 0.025)))+(0);</w:t>
      </w:r>
    </w:p>
    <w:p w:rsidR="002651D0" w:rsidRDefault="009A038B">
      <w:pPr>
        <w:spacing w:after="160" w:line="259" w:lineRule="auto"/>
        <w:rPr>
          <w:rFonts w:ascii="Arial" w:eastAsiaTheme="minorHAnsi" w:hAnsi="Arial" w:cs="Arial"/>
          <w:b/>
          <w:i/>
          <w:sz w:val="20"/>
          <w:szCs w:val="20"/>
          <w:lang w:val="en-US" w:eastAsia="en-US"/>
        </w:rPr>
      </w:pPr>
      <w:r>
        <w:rPr>
          <w:rFonts w:ascii="Arial" w:eastAsiaTheme="minorHAnsi" w:hAnsi="Arial" w:cs="Arial"/>
          <w:b/>
          <w:i/>
          <w:sz w:val="20"/>
          <w:szCs w:val="20"/>
          <w:lang w:val="en-US" w:eastAsia="en-US"/>
        </w:rPr>
        <w:t>2) Optical Back Focal Distance (OBFD):</w:t>
      </w:r>
    </w:p>
    <w:p w:rsidR="002651D0" w:rsidRDefault="009A038B">
      <w:pPr>
        <w:spacing w:after="160" w:line="259" w:lineRule="auto"/>
        <w:rPr>
          <w:rFonts w:ascii="Arial" w:eastAsiaTheme="minorHAnsi" w:hAnsi="Arial" w:cs="Arial"/>
          <w:sz w:val="20"/>
          <w:szCs w:val="20"/>
          <w:lang w:val="en-US" w:eastAsia="en-US"/>
        </w:rPr>
      </w:pPr>
      <w:r>
        <w:rPr>
          <w:rFonts w:ascii="Arial" w:eastAsiaTheme="minorHAnsi" w:hAnsi="Arial" w:cs="Arial"/>
          <w:sz w:val="20"/>
          <w:szCs w:val="20"/>
          <w:lang w:val="en-US" w:eastAsia="en-US"/>
        </w:rPr>
        <w:t>VD – vertex distance = 12 mm;</w:t>
      </w:r>
    </w:p>
    <w:p w:rsidR="002651D0" w:rsidRDefault="009A038B">
      <w:pPr>
        <w:spacing w:after="160" w:line="259" w:lineRule="auto"/>
        <w:rPr>
          <w:rFonts w:ascii="Arial" w:eastAsiaTheme="minorHAnsi" w:hAnsi="Arial" w:cs="Arial"/>
          <w:sz w:val="20"/>
          <w:szCs w:val="20"/>
          <w:lang w:val="en-US" w:eastAsia="en-US"/>
        </w:rPr>
      </w:pPr>
      <w:r>
        <w:rPr>
          <w:rFonts w:ascii="Arial" w:eastAsiaTheme="minorHAnsi" w:hAnsi="Arial" w:cs="Arial"/>
          <w:sz w:val="20"/>
          <w:szCs w:val="20"/>
          <w:lang w:val="en-US" w:eastAsia="en-US"/>
        </w:rPr>
        <w:t>Ray height = 2.5 mm;</w:t>
      </w:r>
    </w:p>
    <w:p w:rsidR="002651D0" w:rsidRDefault="009A038B">
      <w:pPr>
        <w:spacing w:after="160" w:line="259" w:lineRule="auto"/>
        <w:rPr>
          <w:rFonts w:ascii="Arial" w:eastAsiaTheme="minorHAnsi" w:hAnsi="Arial" w:cs="Arial"/>
          <w:sz w:val="20"/>
          <w:szCs w:val="20"/>
          <w:lang w:val="en-US" w:eastAsia="en-US"/>
        </w:rPr>
      </w:pPr>
      <w:r>
        <w:rPr>
          <w:rFonts w:ascii="Arial" w:eastAsiaTheme="minorHAnsi" w:hAnsi="Arial" w:cs="Arial"/>
          <w:sz w:val="20"/>
          <w:szCs w:val="20"/>
          <w:lang w:val="en-US" w:eastAsia="en-US"/>
        </w:rPr>
        <w:t xml:space="preserve">Rx – predicted refraction </w:t>
      </w:r>
      <w:r>
        <w:rPr>
          <w:rFonts w:ascii="Arial" w:eastAsiaTheme="minorHAnsi" w:hAnsi="Arial" w:cs="Arial"/>
          <w:sz w:val="20"/>
          <w:szCs w:val="20"/>
          <w:lang w:val="en-US" w:eastAsia="en-US"/>
        </w:rPr>
        <w:t>(Ref);</w:t>
      </w:r>
    </w:p>
    <w:p w:rsidR="002651D0" w:rsidRDefault="009A038B">
      <w:pPr>
        <w:spacing w:after="160" w:line="259" w:lineRule="auto"/>
        <w:rPr>
          <w:rFonts w:ascii="Arial" w:eastAsiaTheme="minorHAnsi" w:hAnsi="Arial" w:cs="Arial"/>
          <w:sz w:val="20"/>
          <w:szCs w:val="20"/>
          <w:lang w:val="en-US" w:eastAsia="en-US"/>
        </w:rPr>
      </w:pPr>
      <w:r>
        <w:rPr>
          <w:rFonts w:ascii="Arial" w:eastAsiaTheme="minorHAnsi" w:hAnsi="Arial" w:cs="Arial"/>
          <w:sz w:val="20"/>
          <w:szCs w:val="20"/>
          <w:lang w:val="en-US" w:eastAsia="en-US"/>
        </w:rPr>
        <w:t>Target Distance (TD) = 6000 mm;</w:t>
      </w:r>
    </w:p>
    <w:p w:rsidR="002651D0" w:rsidRDefault="009A038B">
      <w:pPr>
        <w:spacing w:after="160" w:line="259" w:lineRule="auto"/>
        <w:rPr>
          <w:rFonts w:ascii="Arial" w:eastAsiaTheme="minorHAnsi" w:hAnsi="Arial" w:cs="Arial"/>
          <w:sz w:val="20"/>
          <w:szCs w:val="20"/>
          <w:lang w:val="en-US" w:eastAsia="en-US"/>
        </w:rPr>
      </w:pPr>
      <w:r>
        <w:rPr>
          <w:rFonts w:ascii="Arial" w:eastAsiaTheme="minorHAnsi" w:hAnsi="Arial" w:cs="Arial"/>
          <w:sz w:val="20"/>
          <w:szCs w:val="20"/>
          <w:lang w:val="en-US" w:eastAsia="en-US"/>
        </w:rPr>
        <w:t>Cornea offset =  0.06 mm;</w:t>
      </w:r>
    </w:p>
    <w:p w:rsidR="002651D0" w:rsidRDefault="009A038B">
      <w:pPr>
        <w:spacing w:after="160" w:line="259" w:lineRule="auto"/>
        <w:rPr>
          <w:rFonts w:ascii="Arial" w:eastAsiaTheme="minorHAnsi" w:hAnsi="Arial" w:cs="Arial"/>
          <w:sz w:val="20"/>
          <w:szCs w:val="20"/>
          <w:lang w:val="en-US" w:eastAsia="en-US"/>
        </w:rPr>
      </w:pPr>
      <w:r>
        <w:rPr>
          <w:rFonts w:ascii="Arial" w:eastAsiaTheme="minorHAnsi" w:hAnsi="Arial" w:cs="Arial"/>
          <w:sz w:val="20"/>
          <w:szCs w:val="20"/>
          <w:lang w:val="en-US" w:eastAsia="en-US"/>
        </w:rPr>
        <w:t xml:space="preserve">Corneal power = 331.5/Ra, Ra – corneal anterior curvature; </w:t>
      </w:r>
    </w:p>
    <w:p w:rsidR="002651D0" w:rsidRDefault="009A038B">
      <w:pPr>
        <w:spacing w:after="160" w:line="259" w:lineRule="auto"/>
        <w:rPr>
          <w:rFonts w:ascii="Arial" w:eastAsiaTheme="minorHAnsi" w:hAnsi="Arial" w:cs="Arial"/>
          <w:sz w:val="20"/>
          <w:szCs w:val="20"/>
          <w:lang w:val="en-US" w:eastAsia="en-US"/>
        </w:rPr>
      </w:pPr>
      <w:r>
        <w:rPr>
          <w:rFonts w:ascii="Arial" w:eastAsiaTheme="minorHAnsi" w:hAnsi="Arial" w:cs="Arial"/>
          <w:sz w:val="20"/>
          <w:szCs w:val="20"/>
          <w:lang w:val="en-US" w:eastAsia="en-US"/>
        </w:rPr>
        <w:t xml:space="preserve">Fc constant – factor of thick lens, usually 0.2 - 0.45, by default = </w:t>
      </w:r>
      <w:r>
        <w:rPr>
          <w:rFonts w:ascii="Arial" w:eastAsiaTheme="minorHAnsi" w:hAnsi="Arial" w:cs="Arial"/>
          <w:b/>
          <w:sz w:val="20"/>
          <w:szCs w:val="20"/>
          <w:lang w:val="en-US" w:eastAsia="en-US"/>
        </w:rPr>
        <w:t>0.3</w:t>
      </w:r>
      <w:r>
        <w:rPr>
          <w:rFonts w:ascii="Arial" w:eastAsiaTheme="minorHAnsi" w:hAnsi="Arial" w:cs="Arial"/>
          <w:sz w:val="20"/>
          <w:szCs w:val="20"/>
          <w:lang w:val="en-US" w:eastAsia="en-US"/>
        </w:rPr>
        <w:t xml:space="preserve">; </w:t>
      </w:r>
    </w:p>
    <w:p w:rsidR="002651D0" w:rsidRDefault="009A038B">
      <w:pPr>
        <w:spacing w:after="160" w:line="259" w:lineRule="auto"/>
        <w:rPr>
          <w:rFonts w:ascii="Arial" w:eastAsiaTheme="minorHAnsi" w:hAnsi="Arial" w:cs="Arial"/>
          <w:sz w:val="20"/>
          <w:szCs w:val="20"/>
          <w:lang w:val="en-US" w:eastAsia="en-US"/>
        </w:rPr>
      </w:pPr>
      <w:r>
        <w:rPr>
          <w:rFonts w:ascii="Arial" w:eastAsiaTheme="minorHAnsi" w:hAnsi="Arial" w:cs="Arial"/>
          <w:sz w:val="20"/>
          <w:szCs w:val="20"/>
          <w:lang w:val="en-US" w:eastAsia="en-US"/>
        </w:rPr>
        <w:t>Refractive index of air  - n1 = 1.000;</w:t>
      </w:r>
    </w:p>
    <w:p w:rsidR="002651D0" w:rsidRDefault="009A038B">
      <w:pPr>
        <w:spacing w:after="160" w:line="259" w:lineRule="auto"/>
        <w:rPr>
          <w:rFonts w:ascii="Arial" w:eastAsiaTheme="minorHAnsi" w:hAnsi="Arial" w:cs="Arial"/>
          <w:sz w:val="20"/>
          <w:szCs w:val="20"/>
          <w:lang w:val="en-US" w:eastAsia="en-US"/>
        </w:rPr>
      </w:pPr>
      <w:r>
        <w:rPr>
          <w:rFonts w:ascii="Arial" w:eastAsiaTheme="minorHAnsi" w:hAnsi="Arial" w:cs="Arial"/>
          <w:sz w:val="20"/>
          <w:szCs w:val="20"/>
          <w:lang w:val="en-US" w:eastAsia="en-US"/>
        </w:rPr>
        <w:t xml:space="preserve">Refractive index </w:t>
      </w:r>
      <w:r>
        <w:rPr>
          <w:rFonts w:ascii="Arial" w:eastAsiaTheme="minorHAnsi" w:hAnsi="Arial" w:cs="Arial"/>
          <w:sz w:val="20"/>
          <w:szCs w:val="20"/>
          <w:lang w:val="en-US" w:eastAsia="en-US"/>
        </w:rPr>
        <w:t>of aqueous  - n2 = 1.336;</w:t>
      </w:r>
    </w:p>
    <w:p w:rsidR="002651D0" w:rsidRDefault="009A038B">
      <w:pPr>
        <w:spacing w:after="160" w:line="259" w:lineRule="auto"/>
        <w:rPr>
          <w:rFonts w:ascii="Arial" w:eastAsiaTheme="minorHAnsi" w:hAnsi="Arial" w:cs="Arial"/>
          <w:sz w:val="20"/>
          <w:szCs w:val="20"/>
          <w:lang w:val="en-US" w:eastAsia="en-US"/>
        </w:rPr>
      </w:pPr>
      <w:r>
        <w:rPr>
          <w:rFonts w:ascii="Arial" w:eastAsiaTheme="minorHAnsi" w:hAnsi="Arial" w:cs="Arial"/>
          <w:sz w:val="20"/>
          <w:szCs w:val="20"/>
          <w:lang w:val="en-US" w:eastAsia="en-US"/>
        </w:rPr>
        <w:t>ELPt corneal power K = 337.5/Ra;</w:t>
      </w:r>
    </w:p>
    <w:p w:rsidR="002651D0" w:rsidRDefault="009A038B">
      <w:pPr>
        <w:spacing w:after="160" w:line="259" w:lineRule="auto"/>
        <w:rPr>
          <w:rFonts w:ascii="Arial" w:eastAsiaTheme="minorHAnsi" w:hAnsi="Arial" w:cs="Arial"/>
          <w:i/>
          <w:sz w:val="20"/>
          <w:szCs w:val="20"/>
          <w:u w:val="single"/>
          <w:lang w:val="en-US" w:eastAsia="en-US"/>
        </w:rPr>
      </w:pPr>
      <w:r>
        <w:rPr>
          <w:rFonts w:ascii="Arial" w:eastAsiaTheme="minorHAnsi" w:hAnsi="Arial" w:cs="Arial"/>
          <w:i/>
          <w:sz w:val="20"/>
          <w:szCs w:val="20"/>
          <w:u w:val="single"/>
          <w:lang w:val="en-US" w:eastAsia="en-US"/>
        </w:rPr>
        <w:t>Final equation of OBFD:</w:t>
      </w:r>
    </w:p>
    <w:p w:rsidR="002651D0" w:rsidRDefault="009A038B">
      <w:pPr>
        <w:spacing w:after="160" w:line="259" w:lineRule="auto"/>
        <w:rPr>
          <w:rFonts w:ascii="Arial" w:eastAsiaTheme="minorHAnsi" w:hAnsi="Arial" w:cs="Arial"/>
          <w:sz w:val="20"/>
          <w:szCs w:val="20"/>
          <w:lang w:val="en-US" w:eastAsia="en-US"/>
        </w:rPr>
      </w:pPr>
      <w:r>
        <w:rPr>
          <w:rFonts w:ascii="Arial" w:eastAsiaTheme="minorHAnsi" w:hAnsi="Arial" w:cs="Arial"/>
          <w:b/>
          <w:i/>
          <w:sz w:val="20"/>
          <w:szCs w:val="20"/>
          <w:lang w:val="en-US" w:eastAsia="en-US"/>
        </w:rPr>
        <w:t>OBFD</w:t>
      </w:r>
      <w:r>
        <w:rPr>
          <w:rFonts w:ascii="Arial" w:eastAsiaTheme="minorHAnsi" w:hAnsi="Arial" w:cs="Arial"/>
          <w:sz w:val="20"/>
          <w:szCs w:val="20"/>
          <w:lang w:val="en-US" w:eastAsia="en-US"/>
        </w:rPr>
        <w:t xml:space="preserve"> = -((((0+(2.5/5988)*5988)+((1*(2.5/5988)-(0+(2.5/5988)*5988)*Rx/1000)/1)*(12-(0.06)))+((1*((1*(2.5/5988)-(0+(2.5/5988)*5988)*Rx/1000)/1)-((0+(2.5/5988)*5988)+((1*(2.5/5</w:t>
      </w:r>
      <w:r>
        <w:rPr>
          <w:rFonts w:ascii="Arial" w:eastAsiaTheme="minorHAnsi" w:hAnsi="Arial" w:cs="Arial"/>
          <w:sz w:val="20"/>
          <w:szCs w:val="20"/>
          <w:lang w:val="en-US" w:eastAsia="en-US"/>
        </w:rPr>
        <w:t>988)-(0+(2.5/5988)*5988)*Rx/1000)/1)*(12-(0.06)))*(331.5/Ra)/1000)/1.336)*(0.06+(((-((CACD*0.959)-0.013)+(((CACD*0.051)-0.006)*(1.23853+0.95855*ALo-0.05467*LT))+(((CACD*0.019)-0.008)*337.5/Ra)+(((CACD*0.053)+0.005)*ACDpre)-(((CACD*0.013)-0.003)*CD))))-(0))</w:t>
      </w:r>
      <w:r>
        <w:rPr>
          <w:rFonts w:ascii="Arial" w:eastAsiaTheme="minorHAnsi" w:hAnsi="Arial" w:cs="Arial"/>
          <w:sz w:val="20"/>
          <w:szCs w:val="20"/>
          <w:lang w:val="en-US" w:eastAsia="en-US"/>
        </w:rPr>
        <w:t>)+((1.336*((1*((1*(2.5/5988)-(0+(2.5/5988)*5988)*Rx/1000)/1)-((0+(2.5/5988)*5988)+((1*(2.5/5988)-(0+(2.5/5988)*5988)*Rx/1000)/1)*(12-(0.06)))*(331.5/Ra)/1000)/1.336)-(((0+(2.5/5988)*5988)+((1*(2.5/5988)-(0+(2.5/5988)*5988)*Rx/1000)/1)*(12-(0.06)))+((1*((1*</w:t>
      </w:r>
      <w:r>
        <w:rPr>
          <w:rFonts w:ascii="Arial" w:eastAsiaTheme="minorHAnsi" w:hAnsi="Arial" w:cs="Arial"/>
          <w:sz w:val="20"/>
          <w:szCs w:val="20"/>
          <w:lang w:val="en-US" w:eastAsia="en-US"/>
        </w:rPr>
        <w:t>(2.5/5988)-(0+(2.5/5988)*5988)*Rx/1000)/1)-((0+(2.5/5988)*5988)+((1*(2.5/5988)-(0+(2.5/5988)*5988)*Rx/1000)/1)*(12-(0.06)))*(331.5/Ra)/1000)/1.336)*(0.06+(((-((CACD*0.959)-0.013)+(((CACD*0.051)-0.006)*(1.23853+0.95855*ALo-0.05467*LT))+(((CACD*0.019)-0.008)</w:t>
      </w:r>
      <w:r>
        <w:rPr>
          <w:rFonts w:ascii="Arial" w:eastAsiaTheme="minorHAnsi" w:hAnsi="Arial" w:cs="Arial"/>
          <w:sz w:val="20"/>
          <w:szCs w:val="20"/>
          <w:lang w:val="en-US" w:eastAsia="en-US"/>
        </w:rPr>
        <w:t>*337.5/Ra)+(((CACD*0.053)+0.005)*ACDpre)-(((CACD*0.013)-0.003)*CD))))-(0)))*IOLpower/1000)/1.336)*0)/((1.336*((1.336*((1*((1*(2.5/5988)-(0+(2.5/5988)*5988)*Rx/1000)/1)-((0+(2.5/5988)*5988)+((1*(2.5/5988)-(0+(2.5/5988)*5988)*Rx/1000)/1)*(12-(0.06)))*(331.5/</w:t>
      </w:r>
      <w:r>
        <w:rPr>
          <w:rFonts w:ascii="Arial" w:eastAsiaTheme="minorHAnsi" w:hAnsi="Arial" w:cs="Arial"/>
          <w:sz w:val="20"/>
          <w:szCs w:val="20"/>
          <w:lang w:val="en-US" w:eastAsia="en-US"/>
        </w:rPr>
        <w:t>Ra)/1000)/1.336)-(((0+(2.5/5988)*5988)+((1*(2.5/5988)-(0+(2.5/5988)*5988)*Rx/1000)/1)*(12-(0.06)))+((1*((1*(2.5/5988)-(0+(2.5/5988)*5988)*Rx/1000)/1)-((0+(2.5/5988)*5988)+((1*(2.5/5988)-(0+(2.5/5988)*5988)*Rx/1000)/1)*(12-(0.06)))*(331.5/Ra)/1000)/1.336)*(</w:t>
      </w:r>
      <w:r>
        <w:rPr>
          <w:rFonts w:ascii="Arial" w:eastAsiaTheme="minorHAnsi" w:hAnsi="Arial" w:cs="Arial"/>
          <w:sz w:val="20"/>
          <w:szCs w:val="20"/>
          <w:lang w:val="en-US" w:eastAsia="en-US"/>
        </w:rPr>
        <w:t>0.06+(((-((CACD*0.959)-0.013)+(((CACD*0.051)-0.006)*(1.23853+0.95855*ALo-0.05467*LT))+(((CACD*0.019)-0.008)*337.5/Ra)+(((CACD*0.053)+0.005)*ACDpre)-(((CACD*0.013)-0.003)*CD))))-(0)))*IOLpower/1000)/1.336)-((((0+(2.5/5988)*5988)+((1*(2.5/5988)-(0+(2.5/5988)</w:t>
      </w:r>
      <w:r>
        <w:rPr>
          <w:rFonts w:ascii="Arial" w:eastAsiaTheme="minorHAnsi" w:hAnsi="Arial" w:cs="Arial"/>
          <w:sz w:val="20"/>
          <w:szCs w:val="20"/>
          <w:lang w:val="en-US" w:eastAsia="en-US"/>
        </w:rPr>
        <w:t>*5988)*Rx/1000)/1)*(12-(0.06)))+((1*((1*(2.5/5988)-(0+(2.5/5988)*5988)*Rx/1000)/1)-((0+(2.5/5988)*5988)+((1*(2.5/5988)-(0+(2.5/5988)*5988)*Rx/1000)/1)*(12-(0.06)))*(331.5/Ra)/1000)/1.336)*(0.06+(((-((CACD*0.959)-0.013)+(((CACD*0.051)-0.006)*(1.23853+0.9585</w:t>
      </w:r>
      <w:r>
        <w:rPr>
          <w:rFonts w:ascii="Arial" w:eastAsiaTheme="minorHAnsi" w:hAnsi="Arial" w:cs="Arial"/>
          <w:sz w:val="20"/>
          <w:szCs w:val="20"/>
          <w:lang w:val="en-US" w:eastAsia="en-US"/>
        </w:rPr>
        <w:t>5*ALo-0.05467*LT))+(((CACD*0.019)-0.008)*337.5/Ra)+(((CACD*0.053)+0.005)*ACDpre)-(((CACD*0.013)-0.003)*CD))))-(0)))+((1.336*((1*((1*(2.5/5988)-(0+(2.5/5988)*5988)*Rx/1000)/1)-((0+(2.5/5988)*5988)+((1*(2.5/5988)-(0+(2.5/5988)*5988)*Rx/1000)/1)*(12-(0.06)))*</w:t>
      </w:r>
      <w:r>
        <w:rPr>
          <w:rFonts w:ascii="Arial" w:eastAsiaTheme="minorHAnsi" w:hAnsi="Arial" w:cs="Arial"/>
          <w:sz w:val="20"/>
          <w:szCs w:val="20"/>
          <w:lang w:val="en-US" w:eastAsia="en-US"/>
        </w:rPr>
        <w:t>(331.5/Ra)/1000)/1.336)-(((0+(2.5/5988)*5988)+((1*(2.5/5988)-(0+(2.5/5988)*5988)*Rx/1000)/1)*(12-(0.06)))+((1*((1*(2.5/5988)-(0+(2.5/5988)*5988)*Rx/1000)/1)-((0+(2.5/5988)*5988)+((1*(2.5/5988)-(0+(2.5/5988)*5988)*Rx/1000)/1)*(12-(0.06)))*(331.5/Ra)/1000)/1</w:t>
      </w:r>
      <w:r>
        <w:rPr>
          <w:rFonts w:ascii="Arial" w:eastAsiaTheme="minorHAnsi" w:hAnsi="Arial" w:cs="Arial"/>
          <w:sz w:val="20"/>
          <w:szCs w:val="20"/>
          <w:lang w:val="en-US" w:eastAsia="en-US"/>
        </w:rPr>
        <w:t>.336)*(0.06+(((-((CACD*0.959)-0.013)+(((CACD*0.051)-0.006)*(1.23853+0.95855*ALo-0.05467*LT))+(((CACD*0.019)-0.008)*337.5/Ra)+(((CACD*0.053)+0.005)*ACDpre)-(((CACD*0.013)-0.003)*CD))))))*IOLpower/1000)/1.336)*0)*Fc /1000)/1.336).</w:t>
      </w:r>
    </w:p>
    <w:p w:rsidR="002651D0" w:rsidRDefault="002651D0">
      <w:pPr>
        <w:pStyle w:val="References"/>
        <w:spacing w:line="480" w:lineRule="auto"/>
        <w:ind w:left="0" w:firstLine="0"/>
        <w:rPr>
          <w:rFonts w:ascii="Arial" w:hAnsi="Arial" w:cs="Arial"/>
          <w:color w:val="4472C4" w:themeColor="accent5"/>
          <w:sz w:val="20"/>
          <w:szCs w:val="20"/>
          <w:lang w:val="en-US"/>
        </w:rPr>
      </w:pPr>
    </w:p>
    <w:sectPr w:rsidR="002651D0">
      <w:headerReference w:type="default" r:id="rId13"/>
      <w:footerReference w:type="default" r:id="rId14"/>
      <w:pgSz w:w="11906" w:h="16838"/>
      <w:pgMar w:top="1440" w:right="1440" w:bottom="1440" w:left="1440" w:header="709" w:footer="709" w:gutter="0"/>
      <w:lnNumType w:countBy="1" w:restart="continuous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038B" w:rsidRDefault="009A038B">
      <w:pPr>
        <w:spacing w:line="240" w:lineRule="auto"/>
      </w:pPr>
      <w:r>
        <w:separator/>
      </w:r>
    </w:p>
  </w:endnote>
  <w:endnote w:type="continuationSeparator" w:id="0">
    <w:p w:rsidR="009A038B" w:rsidRDefault="009A038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1"/>
    <w:family w:val="roman"/>
    <w:notTrueType/>
    <w:pitch w:val="variable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0000000000000000000"/>
    <w:charset w:val="80"/>
    <w:family w:val="roman"/>
    <w:notTrueType/>
    <w:pitch w:val="default"/>
  </w:font>
  <w:font w:name="AdvTT1dfd66bb">
    <w:altName w:val="Times New Roman"/>
    <w:panose1 w:val="00000000000000000000"/>
    <w:charset w:val="00"/>
    <w:family w:val="roman"/>
    <w:notTrueType/>
    <w:pitch w:val="default"/>
  </w:font>
  <w:font w:name="AdvPS44A44B">
    <w:altName w:val="Times New Roman"/>
    <w:panose1 w:val="00000000000000000000"/>
    <w:charset w:val="00"/>
    <w:family w:val="roman"/>
    <w:notTrueType/>
    <w:pitch w:val="default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74371884"/>
      <w:docPartObj>
        <w:docPartGallery w:val="Page Numbers (Bottom of Page)"/>
        <w:docPartUnique/>
      </w:docPartObj>
    </w:sdtPr>
    <w:sdtEndPr/>
    <w:sdtContent>
      <w:p w:rsidR="002651D0" w:rsidRDefault="009A038B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2651D0" w:rsidRDefault="002651D0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038B" w:rsidRDefault="009A038B">
      <w:pPr>
        <w:spacing w:line="240" w:lineRule="auto"/>
      </w:pPr>
      <w:r>
        <w:separator/>
      </w:r>
    </w:p>
  </w:footnote>
  <w:footnote w:type="continuationSeparator" w:id="0">
    <w:p w:rsidR="009A038B" w:rsidRDefault="009A038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51D0" w:rsidRDefault="002651D0">
    <w:pPr>
      <w:pStyle w:val="a8"/>
      <w:jc w:val="right"/>
      <w:rPr>
        <w:sz w:val="22"/>
        <w:lang w:val="it-I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B0D4262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B1FECA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7C74E2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E8F228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A274B1E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D2442F1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79147B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594C1B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34C6DA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C472E2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5DC819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022209E3"/>
    <w:multiLevelType w:val="hybridMultilevel"/>
    <w:tmpl w:val="FE1625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4BC5043"/>
    <w:multiLevelType w:val="multilevel"/>
    <w:tmpl w:val="B55C2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05CC0843"/>
    <w:multiLevelType w:val="multilevel"/>
    <w:tmpl w:val="9426EBB6"/>
    <w:lvl w:ilvl="0">
      <w:start w:val="1"/>
      <w:numFmt w:val="decimal"/>
      <w:lvlText w:val="(%1)"/>
      <w:lvlJc w:val="right"/>
      <w:pPr>
        <w:ind w:left="720" w:hanging="181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D0E7653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0E9111F6"/>
    <w:multiLevelType w:val="multilevel"/>
    <w:tmpl w:val="9A6C9D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FB255FA"/>
    <w:multiLevelType w:val="hybridMultilevel"/>
    <w:tmpl w:val="21B47A32"/>
    <w:lvl w:ilvl="0" w:tplc="323214EC">
      <w:start w:val="1"/>
      <w:numFmt w:val="decimal"/>
      <w:lvlText w:val="%1."/>
      <w:lvlJc w:val="left"/>
      <w:pPr>
        <w:ind w:left="630" w:hanging="414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7">
    <w:nsid w:val="16C71666"/>
    <w:multiLevelType w:val="hybridMultilevel"/>
    <w:tmpl w:val="10669D82"/>
    <w:lvl w:ilvl="0" w:tplc="205CF0E0">
      <w:start w:val="1"/>
      <w:numFmt w:val="decimal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8">
    <w:nsid w:val="1F413159"/>
    <w:multiLevelType w:val="multilevel"/>
    <w:tmpl w:val="30C08770"/>
    <w:lvl w:ilvl="0">
      <w:start w:val="1"/>
      <w:numFmt w:val="decimal"/>
      <w:lvlText w:val="(%1)"/>
      <w:lvlJc w:val="right"/>
      <w:pPr>
        <w:ind w:left="720" w:hanging="15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FBD58E1"/>
    <w:multiLevelType w:val="multilevel"/>
    <w:tmpl w:val="1B88B870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6B476AC"/>
    <w:multiLevelType w:val="hybridMultilevel"/>
    <w:tmpl w:val="90DA7CD0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7E8289F"/>
    <w:multiLevelType w:val="hybridMultilevel"/>
    <w:tmpl w:val="E976D66C"/>
    <w:lvl w:ilvl="0" w:tplc="0CDA721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F010363"/>
    <w:multiLevelType w:val="multilevel"/>
    <w:tmpl w:val="29644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2FE23917"/>
    <w:multiLevelType w:val="hybridMultilevel"/>
    <w:tmpl w:val="9E7A18B6"/>
    <w:lvl w:ilvl="0" w:tplc="C0E6B02A">
      <w:start w:val="1"/>
      <w:numFmt w:val="decimal"/>
      <w:lvlText w:val="%1)"/>
      <w:lvlJc w:val="left"/>
      <w:pPr>
        <w:ind w:left="720" w:hanging="360"/>
      </w:pPr>
      <w:rPr>
        <w:rFonts w:eastAsia="Calibr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89B5003"/>
    <w:multiLevelType w:val="multilevel"/>
    <w:tmpl w:val="DD5255FA"/>
    <w:lvl w:ilvl="0">
      <w:start w:val="1"/>
      <w:numFmt w:val="decimal"/>
      <w:lvlText w:val="(%1)"/>
      <w:lvlJc w:val="left"/>
      <w:pPr>
        <w:ind w:left="720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8D61D86"/>
    <w:multiLevelType w:val="hybridMultilevel"/>
    <w:tmpl w:val="35C2D4C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A8121B2"/>
    <w:multiLevelType w:val="hybridMultilevel"/>
    <w:tmpl w:val="A1C6B222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C5D0C07"/>
    <w:multiLevelType w:val="hybridMultilevel"/>
    <w:tmpl w:val="4CA02766"/>
    <w:lvl w:ilvl="0" w:tplc="79367BA0">
      <w:start w:val="1"/>
      <w:numFmt w:val="decimal"/>
      <w:pStyle w:val="Numberedlist"/>
      <w:lvlText w:val="(%1)"/>
      <w:lvlJc w:val="right"/>
      <w:pPr>
        <w:ind w:left="720" w:hanging="153"/>
      </w:pPr>
      <w:rPr>
        <w:rFonts w:hint="default"/>
      </w:rPr>
    </w:lvl>
    <w:lvl w:ilvl="1" w:tplc="FE3AC208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77E4D7DE">
      <w:start w:val="1"/>
      <w:numFmt w:val="lowerRoman"/>
      <w:lvlText w:val="(%3)"/>
      <w:lvlJc w:val="right"/>
      <w:pPr>
        <w:ind w:left="2160" w:hanging="18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D4A71FF"/>
    <w:multiLevelType w:val="hybridMultilevel"/>
    <w:tmpl w:val="CADCD1B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3E603908"/>
    <w:multiLevelType w:val="hybridMultilevel"/>
    <w:tmpl w:val="8FCAE11E"/>
    <w:lvl w:ilvl="0" w:tplc="68EA706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3F735852"/>
    <w:multiLevelType w:val="hybridMultilevel"/>
    <w:tmpl w:val="8FCAE11E"/>
    <w:lvl w:ilvl="0" w:tplc="68EA706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442801E5"/>
    <w:multiLevelType w:val="hybridMultilevel"/>
    <w:tmpl w:val="DF2A124A"/>
    <w:lvl w:ilvl="0" w:tplc="00B6A9F6">
      <w:start w:val="56"/>
      <w:numFmt w:val="bullet"/>
      <w:lvlText w:val="-"/>
      <w:lvlJc w:val="left"/>
      <w:pPr>
        <w:ind w:left="1069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>
    <w:nsid w:val="452550FB"/>
    <w:multiLevelType w:val="hybridMultilevel"/>
    <w:tmpl w:val="5D367CD2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9632892"/>
    <w:multiLevelType w:val="hybridMultilevel"/>
    <w:tmpl w:val="1B26C220"/>
    <w:lvl w:ilvl="0" w:tplc="F1E694CE">
      <w:start w:val="1"/>
      <w:numFmt w:val="upperLetter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4C075E5A"/>
    <w:multiLevelType w:val="hybridMultilevel"/>
    <w:tmpl w:val="5E92692E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434226"/>
    <w:multiLevelType w:val="hybridMultilevel"/>
    <w:tmpl w:val="4F446D88"/>
    <w:lvl w:ilvl="0" w:tplc="77244220">
      <w:start w:val="1"/>
      <w:numFmt w:val="decimal"/>
      <w:lvlText w:val="%1)"/>
      <w:lvlJc w:val="left"/>
      <w:pPr>
        <w:ind w:left="1069" w:hanging="360"/>
      </w:pPr>
      <w:rPr>
        <w:rFonts w:ascii="Cambria Math" w:hAnsi="Cambria Math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5838135E"/>
    <w:multiLevelType w:val="hybridMultilevel"/>
    <w:tmpl w:val="68EEE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599574A6"/>
    <w:multiLevelType w:val="hybridMultilevel"/>
    <w:tmpl w:val="2F0E76BE"/>
    <w:lvl w:ilvl="0" w:tplc="F0385458">
      <w:start w:val="4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BD96BF8"/>
    <w:multiLevelType w:val="hybridMultilevel"/>
    <w:tmpl w:val="76D2C65A"/>
    <w:lvl w:ilvl="0" w:tplc="0456C424">
      <w:start w:val="1"/>
      <w:numFmt w:val="bullet"/>
      <w:pStyle w:val="Bulleted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CEB5F86"/>
    <w:multiLevelType w:val="hybridMultilevel"/>
    <w:tmpl w:val="9E7A18B6"/>
    <w:lvl w:ilvl="0" w:tplc="C0E6B02A">
      <w:start w:val="1"/>
      <w:numFmt w:val="decimal"/>
      <w:lvlText w:val="%1)"/>
      <w:lvlJc w:val="left"/>
      <w:pPr>
        <w:ind w:left="720" w:hanging="360"/>
      </w:pPr>
      <w:rPr>
        <w:rFonts w:eastAsia="Calibr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D2D4116"/>
    <w:multiLevelType w:val="multilevel"/>
    <w:tmpl w:val="65CCD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5DD751B3"/>
    <w:multiLevelType w:val="hybridMultilevel"/>
    <w:tmpl w:val="5708286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3FA38AF"/>
    <w:multiLevelType w:val="hybridMultilevel"/>
    <w:tmpl w:val="C96A95C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D9373AB"/>
    <w:multiLevelType w:val="multilevel"/>
    <w:tmpl w:val="B89CB32C"/>
    <w:lvl w:ilvl="0">
      <w:start w:val="1"/>
      <w:numFmt w:val="decimal"/>
      <w:lvlText w:val="(%1)"/>
      <w:lvlJc w:val="right"/>
      <w:pPr>
        <w:ind w:left="720" w:hanging="153"/>
      </w:pPr>
      <w:rPr>
        <w:rFonts w:hint="default"/>
      </w:rPr>
    </w:lvl>
    <w:lvl w:ilvl="1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DB0385E"/>
    <w:multiLevelType w:val="hybridMultilevel"/>
    <w:tmpl w:val="D2603C8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6F862F34"/>
    <w:multiLevelType w:val="hybridMultilevel"/>
    <w:tmpl w:val="1360C5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FEC0D8B"/>
    <w:multiLevelType w:val="hybridMultilevel"/>
    <w:tmpl w:val="35F6806C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6C8174C"/>
    <w:multiLevelType w:val="hybridMultilevel"/>
    <w:tmpl w:val="7BA4B3AE"/>
    <w:lvl w:ilvl="0" w:tplc="9E8AAB0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79B5244"/>
    <w:multiLevelType w:val="hybridMultilevel"/>
    <w:tmpl w:val="26920032"/>
    <w:lvl w:ilvl="0" w:tplc="FCDE617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9">
    <w:nsid w:val="784D7F19"/>
    <w:multiLevelType w:val="hybridMultilevel"/>
    <w:tmpl w:val="6E10DC22"/>
    <w:lvl w:ilvl="0" w:tplc="654A5BCE">
      <w:start w:val="1"/>
      <w:numFmt w:val="decimal"/>
      <w:lvlText w:val="%1)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6"/>
  </w:num>
  <w:num w:numId="2">
    <w:abstractNumId w:val="26"/>
  </w:num>
  <w:num w:numId="3">
    <w:abstractNumId w:val="25"/>
  </w:num>
  <w:num w:numId="4">
    <w:abstractNumId w:val="20"/>
  </w:num>
  <w:num w:numId="5">
    <w:abstractNumId w:val="32"/>
  </w:num>
  <w:num w:numId="6">
    <w:abstractNumId w:val="39"/>
  </w:num>
  <w:num w:numId="7">
    <w:abstractNumId w:val="33"/>
  </w:num>
  <w:num w:numId="8">
    <w:abstractNumId w:val="48"/>
  </w:num>
  <w:num w:numId="9">
    <w:abstractNumId w:val="29"/>
  </w:num>
  <w:num w:numId="10">
    <w:abstractNumId w:val="23"/>
  </w:num>
  <w:num w:numId="11">
    <w:abstractNumId w:val="49"/>
  </w:num>
  <w:num w:numId="12">
    <w:abstractNumId w:val="30"/>
  </w:num>
  <w:num w:numId="13">
    <w:abstractNumId w:val="35"/>
  </w:num>
  <w:num w:numId="14">
    <w:abstractNumId w:val="31"/>
  </w:num>
  <w:num w:numId="15">
    <w:abstractNumId w:val="34"/>
  </w:num>
  <w:num w:numId="16">
    <w:abstractNumId w:val="21"/>
  </w:num>
  <w:num w:numId="17">
    <w:abstractNumId w:val="36"/>
  </w:num>
  <w:num w:numId="18">
    <w:abstractNumId w:val="1"/>
  </w:num>
  <w:num w:numId="19">
    <w:abstractNumId w:val="2"/>
  </w:num>
  <w:num w:numId="20">
    <w:abstractNumId w:val="3"/>
  </w:num>
  <w:num w:numId="21">
    <w:abstractNumId w:val="4"/>
  </w:num>
  <w:num w:numId="22">
    <w:abstractNumId w:val="9"/>
  </w:num>
  <w:num w:numId="23">
    <w:abstractNumId w:val="5"/>
  </w:num>
  <w:num w:numId="24">
    <w:abstractNumId w:val="7"/>
  </w:num>
  <w:num w:numId="25">
    <w:abstractNumId w:val="6"/>
  </w:num>
  <w:num w:numId="26">
    <w:abstractNumId w:val="10"/>
  </w:num>
  <w:num w:numId="27">
    <w:abstractNumId w:val="8"/>
  </w:num>
  <w:num w:numId="28">
    <w:abstractNumId w:val="27"/>
  </w:num>
  <w:num w:numId="29">
    <w:abstractNumId w:val="38"/>
  </w:num>
  <w:num w:numId="30">
    <w:abstractNumId w:val="19"/>
  </w:num>
  <w:num w:numId="31">
    <w:abstractNumId w:val="24"/>
  </w:num>
  <w:num w:numId="32">
    <w:abstractNumId w:val="13"/>
  </w:num>
  <w:num w:numId="33">
    <w:abstractNumId w:val="0"/>
  </w:num>
  <w:num w:numId="34">
    <w:abstractNumId w:val="14"/>
  </w:num>
  <w:num w:numId="35">
    <w:abstractNumId w:val="28"/>
  </w:num>
  <w:num w:numId="36">
    <w:abstractNumId w:val="41"/>
  </w:num>
  <w:num w:numId="37">
    <w:abstractNumId w:val="42"/>
  </w:num>
  <w:num w:numId="38">
    <w:abstractNumId w:val="18"/>
  </w:num>
  <w:num w:numId="39">
    <w:abstractNumId w:val="43"/>
  </w:num>
  <w:num w:numId="40">
    <w:abstractNumId w:val="40"/>
  </w:num>
  <w:num w:numId="41">
    <w:abstractNumId w:val="12"/>
  </w:num>
  <w:num w:numId="42">
    <w:abstractNumId w:val="22"/>
  </w:num>
  <w:num w:numId="43">
    <w:abstractNumId w:val="37"/>
  </w:num>
  <w:num w:numId="44">
    <w:abstractNumId w:val="44"/>
  </w:num>
  <w:num w:numId="45">
    <w:abstractNumId w:val="16"/>
  </w:num>
  <w:num w:numId="46">
    <w:abstractNumId w:val="15"/>
  </w:num>
  <w:num w:numId="47">
    <w:abstractNumId w:val="45"/>
  </w:num>
  <w:num w:numId="48">
    <w:abstractNumId w:val="11"/>
  </w:num>
  <w:num w:numId="49">
    <w:abstractNumId w:val="47"/>
  </w:num>
  <w:num w:numId="5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it-IT" w:vendorID="64" w:dllVersion="4096" w:nlCheck="1" w:checkStyle="0"/>
  <w:activeWritingStyle w:appName="MSWord" w:lang="ru-RU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ru-RU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defaultTabStop w:val="708"/>
  <w:hyphenationZone w:val="283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1D0"/>
    <w:rsid w:val="002651D0"/>
    <w:rsid w:val="00535167"/>
    <w:rsid w:val="009A0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2C0BF4C-B176-4348-88E7-E58912E9E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48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1">
    <w:name w:val="heading 1"/>
    <w:basedOn w:val="a"/>
    <w:next w:val="Paragraph"/>
    <w:link w:val="10"/>
    <w:qFormat/>
    <w:pPr>
      <w:keepNext/>
      <w:spacing w:before="360" w:after="60" w:line="360" w:lineRule="auto"/>
      <w:ind w:right="567"/>
      <w:contextualSpacing/>
      <w:outlineLvl w:val="0"/>
    </w:pPr>
    <w:rPr>
      <w:rFonts w:cs="Arial"/>
      <w:b/>
      <w:bCs/>
      <w:kern w:val="32"/>
      <w:szCs w:val="32"/>
    </w:rPr>
  </w:style>
  <w:style w:type="paragraph" w:styleId="2">
    <w:name w:val="heading 2"/>
    <w:basedOn w:val="a"/>
    <w:next w:val="Paragraph"/>
    <w:link w:val="20"/>
    <w:qFormat/>
    <w:pPr>
      <w:keepNext/>
      <w:spacing w:before="360" w:after="60" w:line="360" w:lineRule="auto"/>
      <w:ind w:right="567"/>
      <w:contextualSpacing/>
      <w:outlineLvl w:val="1"/>
    </w:pPr>
    <w:rPr>
      <w:rFonts w:cs="Arial"/>
      <w:b/>
      <w:bCs/>
      <w:i/>
      <w:iCs/>
      <w:szCs w:val="28"/>
    </w:rPr>
  </w:style>
  <w:style w:type="paragraph" w:styleId="3">
    <w:name w:val="heading 3"/>
    <w:basedOn w:val="a"/>
    <w:next w:val="Paragraph"/>
    <w:link w:val="30"/>
    <w:qFormat/>
    <w:pPr>
      <w:keepNext/>
      <w:spacing w:before="360" w:after="60" w:line="360" w:lineRule="auto"/>
      <w:ind w:right="567"/>
      <w:contextualSpacing/>
      <w:outlineLvl w:val="2"/>
    </w:pPr>
    <w:rPr>
      <w:rFonts w:cs="Arial"/>
      <w:bCs/>
      <w:i/>
      <w:szCs w:val="26"/>
    </w:rPr>
  </w:style>
  <w:style w:type="paragraph" w:styleId="4">
    <w:name w:val="heading 4"/>
    <w:basedOn w:val="Paragraph"/>
    <w:next w:val="Newparagraph"/>
    <w:link w:val="40"/>
    <w:pPr>
      <w:spacing w:before="360"/>
      <w:outlineLvl w:val="3"/>
    </w:pPr>
    <w:rPr>
      <w:bCs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2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3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7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Сетка таблицы18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9">
    <w:name w:val="Абзац списка1"/>
    <w:basedOn w:val="a"/>
    <w:uiPriority w:val="34"/>
    <w:qFormat/>
    <w:pPr>
      <w:ind w:left="720"/>
      <w:contextualSpacing/>
    </w:pPr>
  </w:style>
  <w:style w:type="paragraph" w:styleId="a4">
    <w:name w:val="Balloon Text"/>
    <w:basedOn w:val="a"/>
    <w:link w:val="a5"/>
    <w:uiPriority w:val="99"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rPr>
      <w:rFonts w:ascii="Tahoma" w:eastAsia="Calibri" w:hAnsi="Tahoma" w:cs="Tahoma"/>
      <w:sz w:val="16"/>
      <w:szCs w:val="16"/>
      <w:lang w:val="en-US"/>
    </w:rPr>
  </w:style>
  <w:style w:type="paragraph" w:styleId="a6">
    <w:name w:val="List Paragraph"/>
    <w:basedOn w:val="a"/>
    <w:uiPriority w:val="34"/>
    <w:qFormat/>
    <w:pPr>
      <w:ind w:left="720"/>
      <w:contextualSpacing/>
    </w:pPr>
  </w:style>
  <w:style w:type="character" w:styleId="a7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8">
    <w:name w:val="header"/>
    <w:basedOn w:val="a"/>
    <w:link w:val="a9"/>
    <w:pPr>
      <w:tabs>
        <w:tab w:val="center" w:pos="4320"/>
        <w:tab w:val="right" w:pos="8640"/>
      </w:tabs>
      <w:spacing w:after="120" w:line="240" w:lineRule="auto"/>
      <w:contextualSpacing/>
    </w:pPr>
  </w:style>
  <w:style w:type="character" w:customStyle="1" w:styleId="a9">
    <w:name w:val="Верхний колонтитул Знак"/>
    <w:basedOn w:val="a0"/>
    <w:link w:val="a8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aa">
    <w:name w:val="footer"/>
    <w:basedOn w:val="a"/>
    <w:link w:val="ab"/>
    <w:pPr>
      <w:tabs>
        <w:tab w:val="center" w:pos="4320"/>
        <w:tab w:val="right" w:pos="8640"/>
      </w:tabs>
      <w:spacing w:before="240" w:line="240" w:lineRule="auto"/>
      <w:contextualSpacing/>
    </w:pPr>
  </w:style>
  <w:style w:type="character" w:customStyle="1" w:styleId="ab">
    <w:name w:val="Нижний колонтитул Знак"/>
    <w:basedOn w:val="a0"/>
    <w:link w:val="aa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numbering" w:customStyle="1" w:styleId="1a">
    <w:name w:val="Нет списка1"/>
    <w:next w:val="a2"/>
    <w:uiPriority w:val="99"/>
    <w:semiHidden/>
    <w:unhideWhenUsed/>
  </w:style>
  <w:style w:type="numbering" w:customStyle="1" w:styleId="111">
    <w:name w:val="Нет списка11"/>
    <w:next w:val="a2"/>
    <w:uiPriority w:val="99"/>
    <w:semiHidden/>
    <w:unhideWhenUsed/>
  </w:style>
  <w:style w:type="paragraph" w:styleId="ac">
    <w:name w:val="endnote text"/>
    <w:basedOn w:val="a"/>
    <w:link w:val="ad"/>
    <w:autoRedefine/>
    <w:pPr>
      <w:ind w:left="284" w:hanging="284"/>
    </w:pPr>
    <w:rPr>
      <w:sz w:val="22"/>
      <w:szCs w:val="20"/>
    </w:rPr>
  </w:style>
  <w:style w:type="character" w:customStyle="1" w:styleId="ad">
    <w:name w:val="Текст концевой сноски Знак"/>
    <w:basedOn w:val="a0"/>
    <w:link w:val="ac"/>
    <w:rPr>
      <w:rFonts w:ascii="Times New Roman" w:eastAsia="Times New Roman" w:hAnsi="Times New Roman" w:cs="Times New Roman"/>
      <w:szCs w:val="20"/>
      <w:lang w:val="en-GB" w:eastAsia="en-GB"/>
    </w:rPr>
  </w:style>
  <w:style w:type="paragraph" w:styleId="ae">
    <w:name w:val="footnote text"/>
    <w:basedOn w:val="a"/>
    <w:link w:val="af"/>
    <w:autoRedefine/>
    <w:pPr>
      <w:ind w:left="284" w:hanging="284"/>
    </w:pPr>
    <w:rPr>
      <w:sz w:val="22"/>
      <w:szCs w:val="20"/>
    </w:rPr>
  </w:style>
  <w:style w:type="character" w:customStyle="1" w:styleId="af">
    <w:name w:val="Текст сноски Знак"/>
    <w:basedOn w:val="a0"/>
    <w:link w:val="ae"/>
    <w:rPr>
      <w:rFonts w:ascii="Times New Roman" w:eastAsia="Times New Roman" w:hAnsi="Times New Roman" w:cs="Times New Roman"/>
      <w:szCs w:val="20"/>
      <w:lang w:val="en-GB" w:eastAsia="en-GB"/>
    </w:rPr>
  </w:style>
  <w:style w:type="character" w:styleId="af0">
    <w:name w:val="endnote reference"/>
    <w:basedOn w:val="a0"/>
    <w:rPr>
      <w:vertAlign w:val="superscript"/>
    </w:rPr>
  </w:style>
  <w:style w:type="character" w:styleId="af1">
    <w:name w:val="footnote reference"/>
    <w:basedOn w:val="a0"/>
    <w:rPr>
      <w:vertAlign w:val="superscript"/>
    </w:rPr>
  </w:style>
  <w:style w:type="paragraph" w:styleId="HTML">
    <w:name w:val="HTML Preformatted"/>
    <w:basedOn w:val="a"/>
    <w:link w:val="HTML0"/>
    <w:semiHidden/>
    <w:unhideWhenUsed/>
    <w:pPr>
      <w:spacing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Pr>
      <w:rFonts w:ascii="Consolas" w:eastAsia="Calibri" w:hAnsi="Consolas" w:cs="Consolas"/>
      <w:sz w:val="20"/>
      <w:szCs w:val="20"/>
    </w:rPr>
  </w:style>
  <w:style w:type="paragraph" w:styleId="af2">
    <w:name w:val="No Spacing"/>
    <w:link w:val="af3"/>
    <w:uiPriority w:val="1"/>
    <w:qFormat/>
    <w:pPr>
      <w:spacing w:after="0" w:line="240" w:lineRule="auto"/>
    </w:pPr>
    <w:rPr>
      <w:rFonts w:eastAsiaTheme="minorEastAsia"/>
      <w:lang w:eastAsia="ru-RU"/>
    </w:rPr>
  </w:style>
  <w:style w:type="character" w:customStyle="1" w:styleId="af3">
    <w:name w:val="Без интервала Знак"/>
    <w:basedOn w:val="a0"/>
    <w:link w:val="af2"/>
    <w:uiPriority w:val="1"/>
    <w:rPr>
      <w:rFonts w:eastAsiaTheme="minorEastAsia"/>
      <w:lang w:eastAsia="ru-RU"/>
    </w:rPr>
  </w:style>
  <w:style w:type="table" w:customStyle="1" w:styleId="190">
    <w:name w:val="Сетка таблицы19"/>
    <w:basedOn w:val="a1"/>
    <w:next w:val="a3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">
    <w:name w:val="Сетка таблицы20"/>
    <w:basedOn w:val="a1"/>
    <w:next w:val="a3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2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1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1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Сетка таблицы71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">
    <w:name w:val="Сетка таблицы81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">
    <w:name w:val="Сетка таблицы91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1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1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Сетка таблицы131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1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">
    <w:name w:val="Сетка таблицы151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">
    <w:name w:val="Сетка таблицы161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1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1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3"/>
    <w:basedOn w:val="a1"/>
    <w:next w:val="a3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Placeholder Text"/>
    <w:basedOn w:val="a0"/>
    <w:uiPriority w:val="99"/>
    <w:semiHidden/>
    <w:rPr>
      <w:color w:val="808080"/>
    </w:rPr>
  </w:style>
  <w:style w:type="numbering" w:customStyle="1" w:styleId="24">
    <w:name w:val="Нет списка2"/>
    <w:next w:val="a2"/>
    <w:uiPriority w:val="99"/>
    <w:semiHidden/>
    <w:unhideWhenUsed/>
  </w:style>
  <w:style w:type="table" w:customStyle="1" w:styleId="240">
    <w:name w:val="Сетка таблицы24"/>
    <w:basedOn w:val="a1"/>
    <w:next w:val="a3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2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5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2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2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2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2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Сетка таблицы72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Сетка таблицы82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Сетка таблицы92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Сетка таблицы102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3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2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">
    <w:name w:val="Сетка таблицы142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2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">
    <w:name w:val="Сетка таблицы162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172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">
    <w:name w:val="Сетка таблицы182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uiPriority w:val="99"/>
    <w:semiHidden/>
    <w:unhideWhenUsed/>
  </w:style>
  <w:style w:type="numbering" w:customStyle="1" w:styleId="1111">
    <w:name w:val="Нет списка111"/>
    <w:next w:val="a2"/>
    <w:uiPriority w:val="99"/>
    <w:semiHidden/>
    <w:unhideWhenUsed/>
  </w:style>
  <w:style w:type="table" w:customStyle="1" w:styleId="191">
    <w:name w:val="Сетка таблицы191"/>
    <w:basedOn w:val="a1"/>
    <w:next w:val="a3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">
    <w:name w:val="Сетка таблицы201"/>
    <w:basedOn w:val="a1"/>
    <w:next w:val="a3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1"/>
    <w:basedOn w:val="a1"/>
    <w:next w:val="a3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">
    <w:name w:val="Сетка таблицы1101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">
    <w:name w:val="Сетка таблицы221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Сетка таблицы311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1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етка таблицы511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Сетка таблицы611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Сетка таблицы711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">
    <w:name w:val="Сетка таблицы811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1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Сетка таблицы1011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">
    <w:name w:val="Сетка таблицы1111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Сетка таблицы1211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Сетка таблицы1311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Сетка таблицы1411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Сетка таблицы1511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">
    <w:name w:val="Сетка таблицы1611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">
    <w:name w:val="Сетка таблицы1711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">
    <w:name w:val="Сетка таблицы1811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1"/>
    <w:basedOn w:val="a1"/>
    <w:next w:val="a3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annotation reference"/>
    <w:basedOn w:val="a0"/>
    <w:uiPriority w:val="99"/>
    <w:semiHidden/>
    <w:unhideWhenUsed/>
    <w:rPr>
      <w:sz w:val="18"/>
      <w:szCs w:val="18"/>
    </w:rPr>
  </w:style>
  <w:style w:type="paragraph" w:styleId="af6">
    <w:name w:val="annotation text"/>
    <w:basedOn w:val="a"/>
    <w:link w:val="af7"/>
    <w:uiPriority w:val="99"/>
    <w:unhideWhenUsed/>
    <w:pPr>
      <w:spacing w:line="240" w:lineRule="auto"/>
    </w:pPr>
  </w:style>
  <w:style w:type="character" w:customStyle="1" w:styleId="af7">
    <w:name w:val="Текст примечания Знак"/>
    <w:basedOn w:val="a0"/>
    <w:link w:val="af6"/>
    <w:uiPriority w:val="99"/>
    <w:rPr>
      <w:rFonts w:ascii="Calibri" w:eastAsia="Calibri" w:hAnsi="Calibri" w:cs="Times New Roman"/>
      <w:sz w:val="24"/>
      <w:szCs w:val="24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Pr>
      <w:b/>
      <w:bCs/>
      <w:sz w:val="20"/>
      <w:szCs w:val="20"/>
    </w:rPr>
  </w:style>
  <w:style w:type="character" w:customStyle="1" w:styleId="af9">
    <w:name w:val="Тема примечания Знак"/>
    <w:basedOn w:val="af7"/>
    <w:link w:val="af8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afa">
    <w:name w:val="Revision"/>
    <w:hidden/>
    <w:uiPriority w:val="99"/>
    <w:semiHidden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33">
    <w:name w:val="Нет списка3"/>
    <w:next w:val="a2"/>
    <w:uiPriority w:val="99"/>
    <w:semiHidden/>
    <w:unhideWhenUsed/>
  </w:style>
  <w:style w:type="table" w:customStyle="1" w:styleId="26">
    <w:name w:val="Сетка таблицы26"/>
    <w:basedOn w:val="a1"/>
    <w:next w:val="a3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">
    <w:name w:val="Сетка таблицы114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7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3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3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Сетка таблицы63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">
    <w:name w:val="Сетка таблицы73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3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3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">
    <w:name w:val="Сетка таблицы103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Сетка таблицы115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">
    <w:name w:val="Сетка таблицы123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">
    <w:name w:val="Сетка таблицы143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">
    <w:name w:val="Сетка таблицы153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">
    <w:name w:val="Сетка таблицы163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">
    <w:name w:val="Сетка таблицы173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">
    <w:name w:val="Сетка таблицы183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0">
    <w:name w:val="Нет списка13"/>
    <w:next w:val="a2"/>
    <w:uiPriority w:val="99"/>
    <w:semiHidden/>
    <w:unhideWhenUsed/>
  </w:style>
  <w:style w:type="numbering" w:customStyle="1" w:styleId="1120">
    <w:name w:val="Нет списка112"/>
    <w:next w:val="a2"/>
    <w:uiPriority w:val="99"/>
    <w:semiHidden/>
    <w:unhideWhenUsed/>
  </w:style>
  <w:style w:type="table" w:customStyle="1" w:styleId="192">
    <w:name w:val="Сетка таблицы192"/>
    <w:basedOn w:val="a1"/>
    <w:next w:val="a3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">
    <w:name w:val="Сетка таблицы202"/>
    <w:basedOn w:val="a1"/>
    <w:next w:val="a3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2"/>
    <w:basedOn w:val="a1"/>
    <w:next w:val="a3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2">
    <w:name w:val="Сетка таблицы1102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2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Сетка таблицы312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2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2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">
    <w:name w:val="Сетка таблицы612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">
    <w:name w:val="Сетка таблицы712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2">
    <w:name w:val="Сетка таблицы812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2">
    <w:name w:val="Сетка таблицы912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2">
    <w:name w:val="Сетка таблицы1012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Сетка таблицы1112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Сетка таблицы1212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">
    <w:name w:val="Сетка таблицы1312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Сетка таблицы1412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">
    <w:name w:val="Сетка таблицы1512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">
    <w:name w:val="Сетка таблицы1612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">
    <w:name w:val="Сетка таблицы1712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">
    <w:name w:val="Сетка таблицы1812"/>
    <w:basedOn w:val="a1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2"/>
    <w:basedOn w:val="a1"/>
    <w:next w:val="a3"/>
    <w:uiPriority w:val="5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a0"/>
    <w:rPr>
      <w:rFonts w:ascii="AdvTT1dfd66bb" w:hAnsi="AdvTT1dfd66bb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a0"/>
    <w:rPr>
      <w:rFonts w:ascii="AdvPS44A44B" w:hAnsi="AdvPS44A44B" w:hint="default"/>
      <w:b w:val="0"/>
      <w:bCs w:val="0"/>
      <w:i w:val="0"/>
      <w:iCs w:val="0"/>
      <w:color w:val="000000"/>
      <w:sz w:val="20"/>
      <w:szCs w:val="20"/>
    </w:rPr>
  </w:style>
  <w:style w:type="character" w:styleId="afb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customStyle="1" w:styleId="Menzionenonrisolta1">
    <w:name w:val="Menzione non risolta1"/>
    <w:basedOn w:val="a0"/>
    <w:uiPriority w:val="99"/>
    <w:semiHidden/>
    <w:unhideWhenUsed/>
    <w:rPr>
      <w:color w:val="605E5C"/>
      <w:shd w:val="clear" w:color="auto" w:fill="E1DFDD"/>
    </w:rPr>
  </w:style>
  <w:style w:type="table" w:customStyle="1" w:styleId="28">
    <w:name w:val="Сетка таблицы28"/>
    <w:basedOn w:val="a1"/>
    <w:next w:val="a3"/>
    <w:uiPriority w:val="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enzionenonrisolta2">
    <w:name w:val="Menzione non risolta2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Menzionenonrisolta3">
    <w:name w:val="Menzione non risolta3"/>
    <w:basedOn w:val="a0"/>
    <w:uiPriority w:val="99"/>
    <w:semiHidden/>
    <w:unhideWhenUsed/>
    <w:rPr>
      <w:color w:val="605E5C"/>
      <w:shd w:val="clear" w:color="auto" w:fill="E1DFDD"/>
    </w:rPr>
  </w:style>
  <w:style w:type="table" w:customStyle="1" w:styleId="29">
    <w:name w:val="Сетка таблицы29"/>
    <w:basedOn w:val="a1"/>
    <w:next w:val="a3"/>
    <w:uiPriority w:val="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">
    <w:name w:val="Сетка таблицы30"/>
    <w:basedOn w:val="a1"/>
    <w:next w:val="a3"/>
    <w:uiPriority w:val="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Сетка таблицы34"/>
    <w:basedOn w:val="a1"/>
    <w:next w:val="a3"/>
    <w:uiPriority w:val="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Сетка таблицы116"/>
    <w:basedOn w:val="a1"/>
    <w:next w:val="a3"/>
    <w:uiPriority w:val="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Arial"/>
      <w:b/>
      <w:bCs/>
      <w:kern w:val="32"/>
      <w:sz w:val="24"/>
      <w:szCs w:val="32"/>
      <w:lang w:val="en-GB" w:eastAsia="en-GB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Arial"/>
      <w:b/>
      <w:bCs/>
      <w:i/>
      <w:iCs/>
      <w:sz w:val="24"/>
      <w:szCs w:val="28"/>
      <w:lang w:val="en-GB" w:eastAsia="en-GB"/>
    </w:rPr>
  </w:style>
  <w:style w:type="character" w:customStyle="1" w:styleId="30">
    <w:name w:val="Заголовок 3 Знак"/>
    <w:basedOn w:val="a0"/>
    <w:link w:val="3"/>
    <w:rPr>
      <w:rFonts w:ascii="Times New Roman" w:eastAsia="Times New Roman" w:hAnsi="Times New Roman" w:cs="Arial"/>
      <w:bCs/>
      <w:i/>
      <w:sz w:val="24"/>
      <w:szCs w:val="26"/>
      <w:lang w:val="en-GB" w:eastAsia="en-GB"/>
    </w:rPr>
  </w:style>
  <w:style w:type="character" w:customStyle="1" w:styleId="40">
    <w:name w:val="Заголовок 4 Знак"/>
    <w:basedOn w:val="a0"/>
    <w:link w:val="4"/>
    <w:rPr>
      <w:rFonts w:ascii="Times New Roman" w:eastAsia="Times New Roman" w:hAnsi="Times New Roman" w:cs="Times New Roman"/>
      <w:bCs/>
      <w:sz w:val="24"/>
      <w:szCs w:val="28"/>
      <w:lang w:val="en-GB" w:eastAsia="en-GB"/>
    </w:rPr>
  </w:style>
  <w:style w:type="paragraph" w:customStyle="1" w:styleId="Articletitle">
    <w:name w:val="Article title"/>
    <w:basedOn w:val="a"/>
    <w:next w:val="a"/>
    <w:qFormat/>
    <w:pPr>
      <w:spacing w:after="120" w:line="360" w:lineRule="auto"/>
    </w:pPr>
    <w:rPr>
      <w:b/>
      <w:sz w:val="28"/>
    </w:rPr>
  </w:style>
  <w:style w:type="paragraph" w:customStyle="1" w:styleId="Authornames">
    <w:name w:val="Author names"/>
    <w:basedOn w:val="a"/>
    <w:next w:val="a"/>
    <w:qFormat/>
    <w:pPr>
      <w:spacing w:before="240" w:line="360" w:lineRule="auto"/>
    </w:pPr>
    <w:rPr>
      <w:sz w:val="28"/>
    </w:rPr>
  </w:style>
  <w:style w:type="paragraph" w:customStyle="1" w:styleId="Affiliation">
    <w:name w:val="Affiliation"/>
    <w:basedOn w:val="a"/>
    <w:qFormat/>
    <w:pPr>
      <w:spacing w:before="240" w:line="360" w:lineRule="auto"/>
    </w:pPr>
    <w:rPr>
      <w:i/>
    </w:rPr>
  </w:style>
  <w:style w:type="paragraph" w:customStyle="1" w:styleId="Receiveddates">
    <w:name w:val="Received dates"/>
    <w:basedOn w:val="Affiliation"/>
    <w:next w:val="a"/>
    <w:qFormat/>
  </w:style>
  <w:style w:type="paragraph" w:customStyle="1" w:styleId="Abstract">
    <w:name w:val="Abstract"/>
    <w:basedOn w:val="a"/>
    <w:next w:val="Keywords"/>
    <w:qFormat/>
    <w:pPr>
      <w:spacing w:before="360" w:after="300" w:line="360" w:lineRule="auto"/>
      <w:ind w:left="720" w:right="567"/>
    </w:pPr>
    <w:rPr>
      <w:sz w:val="22"/>
    </w:rPr>
  </w:style>
  <w:style w:type="paragraph" w:customStyle="1" w:styleId="Keywords">
    <w:name w:val="Keywords"/>
    <w:basedOn w:val="a"/>
    <w:next w:val="Paragraph"/>
    <w:qFormat/>
    <w:pPr>
      <w:spacing w:before="240" w:after="240" w:line="360" w:lineRule="auto"/>
      <w:ind w:left="720" w:right="567"/>
    </w:pPr>
    <w:rPr>
      <w:sz w:val="22"/>
    </w:rPr>
  </w:style>
  <w:style w:type="paragraph" w:customStyle="1" w:styleId="Correspondencedetails">
    <w:name w:val="Correspondence details"/>
    <w:basedOn w:val="a"/>
    <w:qFormat/>
    <w:pPr>
      <w:spacing w:before="240" w:line="360" w:lineRule="auto"/>
    </w:pPr>
  </w:style>
  <w:style w:type="paragraph" w:customStyle="1" w:styleId="Displayedquotation">
    <w:name w:val="Displayed quotation"/>
    <w:basedOn w:val="a"/>
    <w:qFormat/>
    <w:pPr>
      <w:tabs>
        <w:tab w:val="left" w:pos="1077"/>
        <w:tab w:val="left" w:pos="1440"/>
        <w:tab w:val="left" w:pos="1797"/>
        <w:tab w:val="left" w:pos="2155"/>
        <w:tab w:val="left" w:pos="2512"/>
      </w:tabs>
      <w:spacing w:before="240" w:after="360" w:line="360" w:lineRule="auto"/>
      <w:ind w:left="709" w:right="425"/>
      <w:contextualSpacing/>
    </w:pPr>
    <w:rPr>
      <w:sz w:val="22"/>
    </w:rPr>
  </w:style>
  <w:style w:type="paragraph" w:customStyle="1" w:styleId="Numberedlist">
    <w:name w:val="Numbered list"/>
    <w:basedOn w:val="Paragraph"/>
    <w:next w:val="Paragraph"/>
    <w:qFormat/>
    <w:pPr>
      <w:widowControl/>
      <w:numPr>
        <w:numId w:val="28"/>
      </w:numPr>
      <w:spacing w:after="240"/>
      <w:contextualSpacing/>
    </w:pPr>
  </w:style>
  <w:style w:type="paragraph" w:customStyle="1" w:styleId="Displayedequation">
    <w:name w:val="Displayed equation"/>
    <w:basedOn w:val="a"/>
    <w:next w:val="Paragraph"/>
    <w:qFormat/>
    <w:pPr>
      <w:tabs>
        <w:tab w:val="center" w:pos="4253"/>
        <w:tab w:val="right" w:pos="8222"/>
      </w:tabs>
      <w:spacing w:before="240" w:after="240"/>
      <w:jc w:val="center"/>
    </w:pPr>
  </w:style>
  <w:style w:type="paragraph" w:customStyle="1" w:styleId="Acknowledgements">
    <w:name w:val="Acknowledgements"/>
    <w:basedOn w:val="a"/>
    <w:next w:val="a"/>
    <w:qFormat/>
    <w:pPr>
      <w:spacing w:before="120" w:line="360" w:lineRule="auto"/>
    </w:pPr>
    <w:rPr>
      <w:sz w:val="22"/>
    </w:rPr>
  </w:style>
  <w:style w:type="paragraph" w:customStyle="1" w:styleId="Tabletitle">
    <w:name w:val="Table title"/>
    <w:basedOn w:val="a"/>
    <w:next w:val="a"/>
    <w:qFormat/>
    <w:pPr>
      <w:spacing w:before="240" w:line="360" w:lineRule="auto"/>
    </w:pPr>
  </w:style>
  <w:style w:type="paragraph" w:customStyle="1" w:styleId="Figurecaption">
    <w:name w:val="Figure caption"/>
    <w:basedOn w:val="a"/>
    <w:next w:val="a"/>
    <w:qFormat/>
    <w:pPr>
      <w:spacing w:before="240" w:line="360" w:lineRule="auto"/>
    </w:pPr>
  </w:style>
  <w:style w:type="paragraph" w:customStyle="1" w:styleId="Footnotes">
    <w:name w:val="Footnotes"/>
    <w:basedOn w:val="a"/>
    <w:qFormat/>
    <w:pPr>
      <w:spacing w:before="120" w:line="360" w:lineRule="auto"/>
      <w:ind w:left="482" w:hanging="482"/>
      <w:contextualSpacing/>
    </w:pPr>
    <w:rPr>
      <w:sz w:val="22"/>
    </w:rPr>
  </w:style>
  <w:style w:type="paragraph" w:customStyle="1" w:styleId="Notesoncontributors">
    <w:name w:val="Notes on contributors"/>
    <w:basedOn w:val="a"/>
    <w:qFormat/>
    <w:pPr>
      <w:spacing w:before="240" w:line="360" w:lineRule="auto"/>
    </w:pPr>
    <w:rPr>
      <w:sz w:val="22"/>
    </w:rPr>
  </w:style>
  <w:style w:type="paragraph" w:customStyle="1" w:styleId="Normalparagraphstyle">
    <w:name w:val="Normal paragraph style"/>
    <w:basedOn w:val="a"/>
    <w:next w:val="a"/>
  </w:style>
  <w:style w:type="paragraph" w:customStyle="1" w:styleId="Paragraph">
    <w:name w:val="Paragraph"/>
    <w:basedOn w:val="a"/>
    <w:next w:val="Newparagraph"/>
    <w:qFormat/>
    <w:pPr>
      <w:widowControl w:val="0"/>
      <w:spacing w:before="240"/>
    </w:pPr>
  </w:style>
  <w:style w:type="paragraph" w:customStyle="1" w:styleId="Newparagraph">
    <w:name w:val="New paragraph"/>
    <w:basedOn w:val="a"/>
    <w:qFormat/>
    <w:pPr>
      <w:ind w:firstLine="720"/>
    </w:pPr>
  </w:style>
  <w:style w:type="paragraph" w:styleId="afc">
    <w:name w:val="Normal Indent"/>
    <w:basedOn w:val="a"/>
    <w:pPr>
      <w:ind w:left="720"/>
    </w:pPr>
  </w:style>
  <w:style w:type="paragraph" w:customStyle="1" w:styleId="References">
    <w:name w:val="References"/>
    <w:basedOn w:val="a"/>
    <w:qFormat/>
    <w:pPr>
      <w:spacing w:before="120" w:line="360" w:lineRule="auto"/>
      <w:ind w:left="720" w:hanging="720"/>
      <w:contextualSpacing/>
    </w:pPr>
  </w:style>
  <w:style w:type="paragraph" w:customStyle="1" w:styleId="Subjectcodes">
    <w:name w:val="Subject codes"/>
    <w:basedOn w:val="Keywords"/>
    <w:next w:val="Paragraph"/>
    <w:qFormat/>
  </w:style>
  <w:style w:type="paragraph" w:customStyle="1" w:styleId="Bulletedlist">
    <w:name w:val="Bulleted list"/>
    <w:basedOn w:val="Paragraph"/>
    <w:next w:val="Paragraph"/>
    <w:qFormat/>
    <w:pPr>
      <w:widowControl/>
      <w:numPr>
        <w:numId w:val="29"/>
      </w:numPr>
      <w:spacing w:after="240"/>
      <w:contextualSpacing/>
    </w:pPr>
  </w:style>
  <w:style w:type="paragraph" w:customStyle="1" w:styleId="Heading4Paragraph">
    <w:name w:val="Heading 4 + Paragraph"/>
    <w:basedOn w:val="Paragraph"/>
    <w:next w:val="Newparagraph"/>
    <w:qFormat/>
    <w:pPr>
      <w:widowControl/>
      <w:spacing w:before="360"/>
    </w:pPr>
  </w:style>
  <w:style w:type="table" w:customStyle="1" w:styleId="35">
    <w:name w:val="Сетка таблицы35"/>
    <w:basedOn w:val="a1"/>
    <w:next w:val="a3"/>
    <w:uiPriority w:val="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6"/>
    <w:basedOn w:val="a1"/>
    <w:next w:val="a3"/>
    <w:uiPriority w:val="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">
    <w:name w:val="Сетка таблицы117"/>
    <w:basedOn w:val="a1"/>
    <w:next w:val="a3"/>
    <w:uiPriority w:val="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d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lang w:val="en-US" w:eastAsia="en-US"/>
    </w:rPr>
  </w:style>
  <w:style w:type="character" w:styleId="afe">
    <w:name w:val="line number"/>
    <w:basedOn w:val="a0"/>
    <w:uiPriority w:val="99"/>
    <w:semiHidden/>
    <w:unhideWhenUsed/>
  </w:style>
  <w:style w:type="table" w:customStyle="1" w:styleId="37">
    <w:name w:val="Сетка таблицы37"/>
    <w:basedOn w:val="a1"/>
    <w:next w:val="a3"/>
    <w:uiPriority w:val="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8">
    <w:name w:val="Сетка таблицы38"/>
    <w:basedOn w:val="a1"/>
    <w:next w:val="a3"/>
    <w:uiPriority w:val="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9"/>
    <w:basedOn w:val="a1"/>
    <w:next w:val="a3"/>
    <w:uiPriority w:val="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0">
    <w:name w:val="Сетка таблицы40"/>
    <w:basedOn w:val="a1"/>
    <w:next w:val="a3"/>
    <w:uiPriority w:val="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basedOn w:val="a1"/>
    <w:next w:val="a3"/>
    <w:uiPriority w:val="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0">
    <w:name w:val="Сетка таблицы310"/>
    <w:basedOn w:val="a1"/>
    <w:next w:val="a3"/>
    <w:uiPriority w:val="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4">
    <w:name w:val="Нет списка4"/>
    <w:next w:val="a2"/>
    <w:uiPriority w:val="99"/>
    <w:semiHidden/>
    <w:unhideWhenUsed/>
  </w:style>
  <w:style w:type="table" w:customStyle="1" w:styleId="440">
    <w:name w:val="Сетка таблицы44"/>
    <w:basedOn w:val="a1"/>
    <w:next w:val="a3"/>
    <w:uiPriority w:val="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">
    <w:name w:val="Сетка таблицы118"/>
    <w:basedOn w:val="a1"/>
    <w:next w:val="a3"/>
    <w:uiPriority w:val="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3"/>
    <w:basedOn w:val="a1"/>
    <w:next w:val="a3"/>
    <w:uiPriority w:val="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Сетка таблицы313"/>
    <w:basedOn w:val="a1"/>
    <w:next w:val="a3"/>
    <w:uiPriority w:val="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0">
    <w:name w:val="Нет списка5"/>
    <w:next w:val="a2"/>
    <w:uiPriority w:val="99"/>
    <w:semiHidden/>
    <w:unhideWhenUsed/>
  </w:style>
  <w:style w:type="table" w:customStyle="1" w:styleId="45">
    <w:name w:val="Сетка таблицы45"/>
    <w:basedOn w:val="a1"/>
    <w:next w:val="a3"/>
    <w:uiPriority w:val="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">
    <w:name w:val="Сетка таблицы119"/>
    <w:basedOn w:val="a1"/>
    <w:next w:val="a3"/>
    <w:uiPriority w:val="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Сетка таблицы214"/>
    <w:basedOn w:val="a1"/>
    <w:next w:val="a3"/>
    <w:uiPriority w:val="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4"/>
    <w:basedOn w:val="a1"/>
    <w:next w:val="a3"/>
    <w:uiPriority w:val="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0">
    <w:name w:val="Сетка таблицы120"/>
    <w:basedOn w:val="a1"/>
    <w:next w:val="a3"/>
    <w:uiPriority w:val="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0">
    <w:name w:val="Нет списка6"/>
    <w:next w:val="a2"/>
    <w:uiPriority w:val="99"/>
    <w:semiHidden/>
    <w:unhideWhenUsed/>
  </w:style>
  <w:style w:type="table" w:customStyle="1" w:styleId="46">
    <w:name w:val="Сетка таблицы46"/>
    <w:basedOn w:val="a1"/>
    <w:next w:val="a3"/>
    <w:uiPriority w:val="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">
    <w:name w:val="Сетка таблицы124"/>
    <w:basedOn w:val="a1"/>
    <w:next w:val="a3"/>
    <w:uiPriority w:val="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5"/>
    <w:basedOn w:val="a1"/>
    <w:next w:val="a3"/>
    <w:uiPriority w:val="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5"/>
    <w:basedOn w:val="a1"/>
    <w:next w:val="a3"/>
    <w:uiPriority w:val="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enzionenonrisolta4">
    <w:name w:val="Menzione non risolta4"/>
    <w:basedOn w:val="a0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00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4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09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467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177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577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89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98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6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77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558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879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245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1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851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7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40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3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6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8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12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75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35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9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918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0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33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3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offerqst.co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oi.org/10.1007/978-3-031-50666-6_43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olsolver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iolformula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ookeformula.com/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-XEON\Desktop\ALL%20Articles_2023\CER2\TF_Template_Word_Windows_2016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B5E7E6-B02C-4234-9A3C-C653C21AF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TF_Template_Word_Windows_2016</Template>
  <TotalTime>6</TotalTime>
  <Pages>6</Pages>
  <Words>1904</Words>
  <Characters>10854</Characters>
  <Application>Microsoft Office Word</Application>
  <DocSecurity>0</DocSecurity>
  <PresentationFormat/>
  <Lines>90</Lines>
  <Paragraphs>25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DG Win&amp;Soft</Company>
  <LinksUpToDate>false</LinksUpToDate>
  <CharactersWithSpaces>12733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Алексей</cp:lastModifiedBy>
  <cp:revision>6</cp:revision>
  <cp:lastPrinted>2020-05-28T10:31:00Z</cp:lastPrinted>
  <dcterms:created xsi:type="dcterms:W3CDTF">2026-04-27T16:11:00Z</dcterms:created>
  <dcterms:modified xsi:type="dcterms:W3CDTF">2026-04-29T10:04:00Z</dcterms:modified>
  <dc:language/>
  <cp:version/>
</cp:coreProperties>
</file>